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64" w:type="dxa"/>
        <w:tblInd w:w="-34" w:type="dxa"/>
        <w:tblLook w:val="04A0" w:firstRow="1" w:lastRow="0" w:firstColumn="1" w:lastColumn="0" w:noHBand="0" w:noVBand="1"/>
      </w:tblPr>
      <w:tblGrid>
        <w:gridCol w:w="4111"/>
        <w:gridCol w:w="2410"/>
        <w:gridCol w:w="1843"/>
      </w:tblGrid>
      <w:tr w:rsidR="00094F3D" w:rsidRPr="00BC4FCE" w14:paraId="46250938" w14:textId="77777777" w:rsidTr="00916330">
        <w:trPr>
          <w:trHeight w:hRule="exact" w:val="230"/>
        </w:trPr>
        <w:tc>
          <w:tcPr>
            <w:tcW w:w="4111" w:type="dxa"/>
          </w:tcPr>
          <w:p w14:paraId="2A97A7CA" w14:textId="05847E9B" w:rsidR="00094F3D" w:rsidRPr="00BC4FCE" w:rsidRDefault="00354D4A" w:rsidP="00BB4CF3">
            <w:bookmarkStart w:id="0" w:name="orgUnitName"/>
            <w:bookmarkStart w:id="1" w:name="_GoBack"/>
            <w:bookmarkEnd w:id="1"/>
            <w:r>
              <w:t>Hälso- och sjukvårdspolitiska avdelningen</w:t>
            </w:r>
            <w:bookmarkEnd w:id="0"/>
          </w:p>
        </w:tc>
        <w:tc>
          <w:tcPr>
            <w:tcW w:w="2410" w:type="dxa"/>
          </w:tcPr>
          <w:p w14:paraId="170CC714" w14:textId="53C83F88" w:rsidR="00094F3D" w:rsidRPr="00BC4FCE" w:rsidRDefault="00354D4A" w:rsidP="00BB4CF3">
            <w:bookmarkStart w:id="2" w:name="ShortCreatedDate"/>
            <w:r>
              <w:t>2019-07-08</w:t>
            </w:r>
            <w:bookmarkEnd w:id="2"/>
          </w:p>
        </w:tc>
        <w:tc>
          <w:tcPr>
            <w:tcW w:w="1843" w:type="dxa"/>
          </w:tcPr>
          <w:p w14:paraId="603E03CF" w14:textId="3B683051" w:rsidR="00094F3D" w:rsidRPr="00BC4FCE" w:rsidRDefault="00354D4A" w:rsidP="00BB4CF3">
            <w:bookmarkStart w:id="3" w:name="TopLevelIdentifier"/>
            <w:r>
              <w:t>RS/499/2019</w:t>
            </w:r>
            <w:bookmarkEnd w:id="3"/>
          </w:p>
        </w:tc>
      </w:tr>
      <w:tr w:rsidR="00094F3D" w:rsidRPr="00BC4FCE" w14:paraId="1A969154" w14:textId="77777777" w:rsidTr="00916330">
        <w:trPr>
          <w:trHeight w:hRule="exact" w:val="230"/>
        </w:trPr>
        <w:tc>
          <w:tcPr>
            <w:tcW w:w="4111" w:type="dxa"/>
          </w:tcPr>
          <w:p w14:paraId="15DF8E33" w14:textId="2C411CA7" w:rsidR="00094F3D" w:rsidRPr="00BC4FCE" w:rsidRDefault="00354D4A" w:rsidP="00BB4CF3">
            <w:bookmarkStart w:id="4" w:name="CreatedByPersonAlias"/>
            <w:r>
              <w:t>Lena Sved</w:t>
            </w:r>
            <w:bookmarkEnd w:id="4"/>
          </w:p>
        </w:tc>
        <w:tc>
          <w:tcPr>
            <w:tcW w:w="2410" w:type="dxa"/>
          </w:tcPr>
          <w:p w14:paraId="3C5F00BC" w14:textId="77777777" w:rsidR="00094F3D" w:rsidRPr="00BC4FCE" w:rsidRDefault="00094F3D" w:rsidP="00BB4CF3"/>
        </w:tc>
        <w:tc>
          <w:tcPr>
            <w:tcW w:w="1843" w:type="dxa"/>
          </w:tcPr>
          <w:p w14:paraId="23AC0DB5" w14:textId="77777777" w:rsidR="00094F3D" w:rsidRPr="00BC4FCE" w:rsidRDefault="00094F3D" w:rsidP="00BB4CF3"/>
        </w:tc>
      </w:tr>
      <w:tr w:rsidR="00F63C3C" w:rsidRPr="00BC4FCE" w14:paraId="31925E8B" w14:textId="77777777" w:rsidTr="00916330">
        <w:trPr>
          <w:trHeight w:hRule="exact" w:val="230"/>
        </w:trPr>
        <w:tc>
          <w:tcPr>
            <w:tcW w:w="4111" w:type="dxa"/>
          </w:tcPr>
          <w:p w14:paraId="1D51FC50" w14:textId="72D22A71" w:rsidR="00F63C3C" w:rsidRPr="00BC4FCE" w:rsidRDefault="00E123B0" w:rsidP="00BB4CF3">
            <w:r w:rsidRPr="00BC4FCE">
              <w:t xml:space="preserve">Tfn: </w:t>
            </w:r>
            <w:bookmarkStart w:id="5" w:name="CreatorWorkPhone"/>
            <w:r w:rsidR="00354D4A">
              <w:t>063/142474</w:t>
            </w:r>
            <w:bookmarkEnd w:id="5"/>
            <w:r w:rsidR="00FD057D" w:rsidRPr="00BC4FCE">
              <w:tab/>
            </w:r>
          </w:p>
        </w:tc>
        <w:tc>
          <w:tcPr>
            <w:tcW w:w="4253" w:type="dxa"/>
            <w:gridSpan w:val="2"/>
          </w:tcPr>
          <w:p w14:paraId="6D4956C3" w14:textId="77777777" w:rsidR="00F63C3C" w:rsidRPr="00BC4FCE" w:rsidRDefault="00F63C3C" w:rsidP="00BB4CF3"/>
        </w:tc>
      </w:tr>
      <w:tr w:rsidR="00F63C3C" w:rsidRPr="00BC4FCE" w14:paraId="26A0B483" w14:textId="77777777" w:rsidTr="00916330">
        <w:trPr>
          <w:trHeight w:hRule="exact" w:val="230"/>
        </w:trPr>
        <w:tc>
          <w:tcPr>
            <w:tcW w:w="4111" w:type="dxa"/>
          </w:tcPr>
          <w:p w14:paraId="5741BCF5" w14:textId="09F45921" w:rsidR="00F63C3C" w:rsidRPr="00BC4FCE" w:rsidRDefault="00E123B0" w:rsidP="00BB4CF3">
            <w:r w:rsidRPr="00BC4FCE">
              <w:t>E-post:</w:t>
            </w:r>
            <w:r w:rsidR="000962DD" w:rsidRPr="00BC4FCE">
              <w:t xml:space="preserve"> </w:t>
            </w:r>
            <w:bookmarkStart w:id="6" w:name="CreatorWorkMail"/>
            <w:r w:rsidR="00354D4A">
              <w:t>lena.weinstock-svedh@regionjh.se</w:t>
            </w:r>
            <w:bookmarkEnd w:id="6"/>
          </w:p>
        </w:tc>
        <w:tc>
          <w:tcPr>
            <w:tcW w:w="4253" w:type="dxa"/>
            <w:gridSpan w:val="2"/>
          </w:tcPr>
          <w:p w14:paraId="0FFAE144" w14:textId="77777777" w:rsidR="00F63C3C" w:rsidRPr="00BC4FCE" w:rsidRDefault="00F63C3C" w:rsidP="00BB4CF3"/>
        </w:tc>
      </w:tr>
    </w:tbl>
    <w:p w14:paraId="7E39D203" w14:textId="77777777" w:rsidR="00BC5909" w:rsidRDefault="00BC5909">
      <w:pPr>
        <w:sectPr w:rsidR="00BC5909" w:rsidSect="003560B6">
          <w:headerReference w:type="even" r:id="rId8"/>
          <w:headerReference w:type="default" r:id="rId9"/>
          <w:footerReference w:type="even" r:id="rId10"/>
          <w:footerReference w:type="default" r:id="rId11"/>
          <w:headerReference w:type="first" r:id="rId12"/>
          <w:footerReference w:type="first" r:id="rId13"/>
          <w:type w:val="continuous"/>
          <w:pgSz w:w="11906" w:h="16838"/>
          <w:pgMar w:top="1230" w:right="1871" w:bottom="1701" w:left="1871" w:header="567" w:footer="170" w:gutter="0"/>
          <w:cols w:space="708"/>
          <w:docGrid w:linePitch="360"/>
        </w:sectPr>
      </w:pPr>
    </w:p>
    <w:p w14:paraId="0B3AC7C9" w14:textId="77777777" w:rsidR="00A50391" w:rsidRDefault="00A50391"/>
    <w:p w14:paraId="690F25E3" w14:textId="082A8490" w:rsidR="00521765" w:rsidRPr="00C1085C" w:rsidRDefault="00354D4A" w:rsidP="00C1085C">
      <w:pPr>
        <w:pStyle w:val="Rubrik1"/>
      </w:pPr>
      <w:bookmarkStart w:id="8" w:name="title"/>
      <w:r>
        <w:t>Användning av nationell satsning God och nära vård</w:t>
      </w:r>
      <w:bookmarkEnd w:id="8"/>
      <w:r w:rsidR="00371DD7">
        <w:t xml:space="preserve"> 2019</w:t>
      </w:r>
    </w:p>
    <w:p w14:paraId="28D0D369" w14:textId="77777777" w:rsidR="00371DD7" w:rsidRPr="00371DD7" w:rsidRDefault="00371DD7" w:rsidP="00371DD7">
      <w:pPr>
        <w:pStyle w:val="Rubrik2"/>
        <w:rPr>
          <w:b/>
          <w:bCs w:val="0"/>
        </w:rPr>
      </w:pPr>
      <w:bookmarkStart w:id="9" w:name="_Toc511390058"/>
      <w:r w:rsidRPr="00371DD7">
        <w:rPr>
          <w:b/>
          <w:bCs w:val="0"/>
        </w:rPr>
        <w:t>Inledning</w:t>
      </w:r>
      <w:bookmarkEnd w:id="9"/>
    </w:p>
    <w:p w14:paraId="6E4B388F" w14:textId="1BB49020" w:rsidR="00371DD7" w:rsidRDefault="00371DD7" w:rsidP="00371DD7">
      <w:r>
        <w:t xml:space="preserve">De kommande åren handlar det gemensamma utvecklingsarbetet inom hälso- och sjukvården främst om omställning mot en nära vård, vilket inkluderar att åstadkomma en ökad tillgänglighet och bättre samordning, förbättrad kompetensförsörjning, ökad digitalisering samt ökat fokus på att verksamheten ska styras utifrån kunskap och beprövad erfarenhet. Därför har staten valt att teckna ett antal överenskommelser med Sveriges Kommuner och Landsting (SKL) som fokuserar på att förbättra kvaliteten, tillgängligheten samt stärka bemanningen främst inom primärvården, förlossningsvården, cancervården och psykiatrin. </w:t>
      </w:r>
    </w:p>
    <w:p w14:paraId="37CC3DA5" w14:textId="77777777" w:rsidR="00371DD7" w:rsidRDefault="00371DD7" w:rsidP="00371DD7"/>
    <w:p w14:paraId="56C5C8D9" w14:textId="3165C446" w:rsidR="00371DD7" w:rsidRDefault="00371DD7" w:rsidP="00371DD7">
      <w:r>
        <w:t>Socialdepartementet har i överenskommelsen med SKL beslutat att för 2019 avsätta 2 430 miljoner kronor till insatser för en omställning till god och nära vård, förbättra och utveckla tillgängligheten i primärvården samt främja samordning och delaktighet i hälso- och sjukvården.</w:t>
      </w:r>
    </w:p>
    <w:p w14:paraId="28278966" w14:textId="77777777" w:rsidR="00371DD7" w:rsidRDefault="00371DD7" w:rsidP="00371DD7"/>
    <w:p w14:paraId="7CB71341" w14:textId="77777777" w:rsidR="00371DD7" w:rsidRDefault="00371DD7" w:rsidP="00371DD7">
      <w:r>
        <w:t>Medlen fördelas i relation till befolkningsandel baserat på underlaget den 1 november 2018. Region Jämtland Härjedalen erhåller efter redovisning av genomförda insatser och nulägesbeskrivning 30,6 mkr.</w:t>
      </w:r>
    </w:p>
    <w:p w14:paraId="166AB06F" w14:textId="77777777" w:rsidR="00371DD7" w:rsidRDefault="00371DD7" w:rsidP="00371DD7">
      <w:r>
        <w:t>Överenskommelsen omfattar vård som är offentligt finansierad oavsett vem som utför vården.</w:t>
      </w:r>
    </w:p>
    <w:p w14:paraId="15FF43B4" w14:textId="77777777" w:rsidR="00371DD7" w:rsidRPr="00371DD7" w:rsidRDefault="00371DD7" w:rsidP="00371DD7">
      <w:pPr>
        <w:pStyle w:val="Rubrik2"/>
        <w:rPr>
          <w:b/>
          <w:bCs w:val="0"/>
        </w:rPr>
      </w:pPr>
      <w:bookmarkStart w:id="10" w:name="_Toc511390059"/>
      <w:r w:rsidRPr="00371DD7">
        <w:rPr>
          <w:b/>
          <w:bCs w:val="0"/>
        </w:rPr>
        <w:t>Bakgrund</w:t>
      </w:r>
      <w:bookmarkEnd w:id="10"/>
    </w:p>
    <w:p w14:paraId="7CD51EC3" w14:textId="77777777" w:rsidR="00371DD7" w:rsidRDefault="00371DD7" w:rsidP="00371DD7">
      <w:r>
        <w:t xml:space="preserve">För arbetet med omställningen till god och nära vård tillsatte regeringen mars 2017 en särskild utredare som utifrån förslagen i betänkandet Effektiv vård (SOU 2016:2) ska stödja berörda aktörer i arbetet med att samordnat utveckla en modern, jämlik, tillgänglig och effektiv hälso- och sjukvård med fokus på primärvården. </w:t>
      </w:r>
    </w:p>
    <w:p w14:paraId="7958C4DA" w14:textId="77777777" w:rsidR="00FC1BD6" w:rsidRDefault="00371DD7" w:rsidP="00371DD7">
      <w:r>
        <w:t xml:space="preserve">I delbetänkandet God och nära vård (SOU 2017:53) lade utredningen fram förslag om en förstärkt vårdgaranti och nya styrande principer för vårdens organisering. Därutöver föreslog utredningen att det behövs en gemensam målbild för förflyttningen från dagens sjukhustunga system till en ny första linjens sjukvård. </w:t>
      </w:r>
    </w:p>
    <w:p w14:paraId="170A1EE5" w14:textId="01857EA9" w:rsidR="00371DD7" w:rsidRDefault="00371DD7" w:rsidP="00371DD7">
      <w:r>
        <w:t>Sedan 1 januari 2019 gäller en förstärkt vårdgaranti inom primärvården och en ny paragraf i hälso- och sjukvårdslagen som anger att landstingen</w:t>
      </w:r>
      <w:r>
        <w:rPr>
          <w:rStyle w:val="Fotnotsreferens"/>
        </w:rPr>
        <w:footnoteReference w:id="1"/>
      </w:r>
      <w:r>
        <w:t xml:space="preserve"> ska organisera hälso- och sjukvårdsverksamheten så att vården kan ges nära befolkningen.</w:t>
      </w:r>
    </w:p>
    <w:p w14:paraId="0B4D7FC9" w14:textId="77777777" w:rsidR="00371DD7" w:rsidRDefault="00371DD7" w:rsidP="00371DD7"/>
    <w:p w14:paraId="7A4FFB00" w14:textId="372C06E1" w:rsidR="00371DD7" w:rsidRDefault="00371DD7" w:rsidP="00371DD7">
      <w:r>
        <w:t>I juni 2018 lämnade utredningen sitt andra delbetänkande (SOU 2018:39). I utredningen presenteras bland annat en fördjupad färdplan och målbild för omställningen av svensk hälso- och sjukvård där primärvården är utgångspunkten för en ökad närhet till patienterna.</w:t>
      </w:r>
    </w:p>
    <w:p w14:paraId="2F10BCCE" w14:textId="77777777" w:rsidR="00371DD7" w:rsidRDefault="00371DD7" w:rsidP="00371DD7"/>
    <w:p w14:paraId="695D1799" w14:textId="77777777" w:rsidR="00371DD7" w:rsidRDefault="00371DD7" w:rsidP="00371DD7">
      <w:r>
        <w:t>Insatserna inom ramen för överenskommelsen avser att främja omställningen till god och nära vård med utgångspunkt i färdplan och målbild för delbetänkandet SOU 2018:39. Utöver det ska överenskommelsen bidra till ökad tillgänglighet i primärvården och ökad samordning, kontinuitet, delaktighet och trygghet för patienterna. För att främja samordning och kontinuitet i vården har regeringen tagit initiativ till införande av patientkontrakt. Patientkontrakt ska på sikt vara en sammanhållen överenskommelse över patientens samtliga vård- och omsorgsinsatser som ska visualiserar via 1177 vårdguiden.</w:t>
      </w:r>
    </w:p>
    <w:p w14:paraId="0AA9EE20" w14:textId="77777777" w:rsidR="00371DD7" w:rsidRDefault="00371DD7" w:rsidP="00371DD7"/>
    <w:p w14:paraId="715621DF" w14:textId="77777777" w:rsidR="00371DD7" w:rsidRDefault="00371DD7" w:rsidP="00371DD7"/>
    <w:p w14:paraId="335F384D" w14:textId="5304F346" w:rsidR="00371DD7" w:rsidRDefault="00371DD7" w:rsidP="00371DD7">
      <w:r>
        <w:lastRenderedPageBreak/>
        <w:t>Överenskommelsen består av tre utvecklingsområden:</w:t>
      </w:r>
      <w:r>
        <w:br/>
        <w:t>- Omställning till god och nära vård</w:t>
      </w:r>
      <w:r>
        <w:br/>
        <w:t>- Förbättra och utveckla tillgängligheten i primärvården</w:t>
      </w:r>
      <w:r>
        <w:br/>
        <w:t>- Patientkontrakt och andra sätt att främja samordning, samverkan och ökad delaktighet</w:t>
      </w:r>
    </w:p>
    <w:p w14:paraId="0E023810" w14:textId="77777777" w:rsidR="00371DD7" w:rsidRDefault="00371DD7" w:rsidP="00371DD7"/>
    <w:p w14:paraId="1781A388" w14:textId="72508A5E" w:rsidR="009F384E" w:rsidRDefault="00371DD7" w:rsidP="00371DD7">
      <w:r>
        <w:t xml:space="preserve">För att ta del av medlen </w:t>
      </w:r>
      <w:r w:rsidR="009F384E">
        <w:t xml:space="preserve">inom de tre utvecklingsområdena ska </w:t>
      </w:r>
      <w:r>
        <w:t>landstingen</w:t>
      </w:r>
      <w:r w:rsidR="009F384E">
        <w:t xml:space="preserve"> uppfylla ett antal grundläggande krav samt, med stöd av SKL, lämna in en redovisning av genomförda insatser, kostnader och resultat för varje utvecklingsområde. Landstingen ska </w:t>
      </w:r>
      <w:r w:rsidR="001E4BF0">
        <w:t>vidare</w:t>
      </w:r>
      <w:r w:rsidR="009F384E">
        <w:t xml:space="preserve"> lämna in en nulägesrapport av var man befinner sig i omställningen till god och nära vård.</w:t>
      </w:r>
    </w:p>
    <w:p w14:paraId="2AA91C78" w14:textId="77777777" w:rsidR="009F384E" w:rsidRDefault="009F384E" w:rsidP="00371DD7"/>
    <w:p w14:paraId="66FFB524" w14:textId="636B6907" w:rsidR="00371DD7" w:rsidRDefault="00371DD7" w:rsidP="00371DD7">
      <w:r>
        <w:t>Arbetet ska utgå från aktuella utvecklingsbehov i landstingen och ha en långsiktig ambition.</w:t>
      </w:r>
    </w:p>
    <w:p w14:paraId="7AD517BE" w14:textId="77777777" w:rsidR="00371DD7" w:rsidRDefault="00371DD7" w:rsidP="00371DD7"/>
    <w:p w14:paraId="5BFCC2EA" w14:textId="77777777" w:rsidR="00371DD7" w:rsidRPr="008D0E0D" w:rsidRDefault="00371DD7" w:rsidP="00371DD7">
      <w:pPr>
        <w:pStyle w:val="Rubrik2"/>
        <w:rPr>
          <w:b/>
          <w:bCs w:val="0"/>
        </w:rPr>
      </w:pPr>
      <w:r w:rsidRPr="008D0E0D">
        <w:rPr>
          <w:b/>
          <w:bCs w:val="0"/>
        </w:rPr>
        <w:t>Omställning till god och nära vård</w:t>
      </w:r>
    </w:p>
    <w:p w14:paraId="0ACE849F" w14:textId="77777777" w:rsidR="00371DD7" w:rsidRDefault="00371DD7" w:rsidP="00371DD7">
      <w:r>
        <w:t>Detta utvecklingsområde handlar om att främja omställningen till god och nära vård med utgångspunkt i den målbild och färdplan utredningen Samordnad utveckling för god och nära vård har föreslagit i delbetänkandet God och nära vård- En primärvårdsreform (2028:39).</w:t>
      </w:r>
    </w:p>
    <w:p w14:paraId="49C0D447" w14:textId="77777777" w:rsidR="00FC1BD6" w:rsidRDefault="00FC1BD6" w:rsidP="00371DD7"/>
    <w:p w14:paraId="2FC273AC" w14:textId="5D84C685" w:rsidR="00371DD7" w:rsidRDefault="00371DD7" w:rsidP="00371DD7">
      <w:r>
        <w:t>Nära vård är inte en ny organisationsnivå eller en ny benämning på dagens primärvård utan ett förhållningsätt till hur all hälso- och sjukvård organiseras och tillhandahålls sömlöst med utgångspunkt i patienter och brukares individuella behov och förutsättningar. Innebörden av begreppen nära och tillgänglig definieras med utgångspunkt i patienters behov. Begreppen ges därmed en vidare innebörd än enbart en geografisk eller tidsmässig dimension.</w:t>
      </w:r>
    </w:p>
    <w:p w14:paraId="51DC51E5" w14:textId="77777777" w:rsidR="00371DD7" w:rsidRDefault="00371DD7" w:rsidP="00371DD7">
      <w:pPr>
        <w:pStyle w:val="Default"/>
      </w:pPr>
    </w:p>
    <w:p w14:paraId="0C3E91D1" w14:textId="77777777" w:rsidR="00371DD7" w:rsidRDefault="00371DD7" w:rsidP="00371DD7">
      <w:bookmarkStart w:id="11" w:name="_Hlk13491231"/>
      <w:r>
        <w:t xml:space="preserve">Medlen kan användas till exempelvis insatser som bidrar till att utveckla samordning inom eller mellan vårdgivare, kontinuitet och relationsbyggande, tillgänglighet, delaktighet för patienter och närstående, en säkrad kompetensförsörjning i den nära vården, anpassa vårdinsatserna till de målgrupper som i hög grad besöker vården, t.ex. patienter med psykisk ohälsa. Det kan även handla om utveckling av ersättningssystem, utveckling av hälsofrämjande och förebyggande insatser samt proaktiva arbetssätt, utveckling av arbetssätt med stöd av digital teknik samt att hantera utmaningar som finns i glesbefolkade områden med stora geografiska avstånd och de möjligheter som digitalisering bär med sig där t.ex. via digitala vårdgivare m.m. </w:t>
      </w:r>
    </w:p>
    <w:bookmarkEnd w:id="11"/>
    <w:p w14:paraId="70299DC5" w14:textId="77777777" w:rsidR="001E4BF0" w:rsidRDefault="001E4BF0" w:rsidP="00371DD7">
      <w:pPr>
        <w:rPr>
          <w:highlight w:val="yellow"/>
        </w:rPr>
      </w:pPr>
    </w:p>
    <w:p w14:paraId="7DD728CA" w14:textId="7B04AF65" w:rsidR="001E4BF0" w:rsidRPr="008D0E0D" w:rsidRDefault="00371DD7" w:rsidP="00371DD7">
      <w:r w:rsidRPr="008D0E0D">
        <w:t>För att få ta del av medlen</w:t>
      </w:r>
      <w:r w:rsidR="001E4BF0" w:rsidRPr="008D0E0D">
        <w:t xml:space="preserve"> ska landstingen genomföra:</w:t>
      </w:r>
    </w:p>
    <w:p w14:paraId="23AFD5D8" w14:textId="77777777" w:rsidR="001E4BF0" w:rsidRPr="008D0E0D" w:rsidRDefault="001E4BF0" w:rsidP="001E4BF0">
      <w:pPr>
        <w:pStyle w:val="Liststycke"/>
        <w:numPr>
          <w:ilvl w:val="0"/>
          <w:numId w:val="5"/>
        </w:numPr>
      </w:pPr>
      <w:r w:rsidRPr="008D0E0D">
        <w:t>Insatser som stödjer omställningen till god och nära vård med särskilt fokus på primärvård</w:t>
      </w:r>
    </w:p>
    <w:p w14:paraId="1E0CECB8" w14:textId="40EEF8F9" w:rsidR="00371DD7" w:rsidRPr="008D0E0D" w:rsidRDefault="001E4BF0" w:rsidP="001E4BF0">
      <w:pPr>
        <w:pStyle w:val="Liststycke"/>
        <w:numPr>
          <w:ilvl w:val="0"/>
          <w:numId w:val="5"/>
        </w:numPr>
      </w:pPr>
      <w:r w:rsidRPr="008D0E0D">
        <w:t>Lämna in en nulägesrapport</w:t>
      </w:r>
      <w:r w:rsidR="00371DD7" w:rsidRPr="008D0E0D">
        <w:t>.</w:t>
      </w:r>
    </w:p>
    <w:p w14:paraId="2AD249CA" w14:textId="45D330FC" w:rsidR="001E4BF0" w:rsidRDefault="001E4BF0" w:rsidP="001E4BF0"/>
    <w:p w14:paraId="05E6F9A5" w14:textId="78228FA9" w:rsidR="001E4BF0" w:rsidRPr="001E4BF0" w:rsidRDefault="001E4BF0" w:rsidP="001E4BF0">
      <w:pPr>
        <w:rPr>
          <w:b/>
          <w:bCs/>
        </w:rPr>
      </w:pPr>
      <w:r w:rsidRPr="001E4BF0">
        <w:rPr>
          <w:b/>
          <w:bCs/>
        </w:rPr>
        <w:t>Utifrån den fördelning som anges i överenskommelsen ska 19 mkr gå till detta område enligt följande förslag</w:t>
      </w:r>
      <w:r>
        <w:rPr>
          <w:b/>
          <w:bCs/>
        </w:rPr>
        <w:t>:</w:t>
      </w:r>
      <w:r w:rsidRPr="001E4BF0">
        <w:rPr>
          <w:b/>
          <w:bCs/>
        </w:rPr>
        <w:br/>
      </w:r>
    </w:p>
    <w:tbl>
      <w:tblPr>
        <w:tblStyle w:val="Tabellrutnt"/>
        <w:tblW w:w="0" w:type="auto"/>
        <w:tblLook w:val="04A0" w:firstRow="1" w:lastRow="0" w:firstColumn="1" w:lastColumn="0" w:noHBand="0" w:noVBand="1"/>
      </w:tblPr>
      <w:tblGrid>
        <w:gridCol w:w="5946"/>
        <w:gridCol w:w="2208"/>
      </w:tblGrid>
      <w:tr w:rsidR="001E4BF0" w:rsidRPr="001E4BF0" w14:paraId="22B09F8C" w14:textId="77777777" w:rsidTr="00F870D7">
        <w:tc>
          <w:tcPr>
            <w:tcW w:w="6062" w:type="dxa"/>
          </w:tcPr>
          <w:p w14:paraId="58A60197" w14:textId="4A0303A2" w:rsidR="001E4BF0" w:rsidRPr="001E4BF0" w:rsidRDefault="001E4BF0" w:rsidP="001E4BF0">
            <w:pPr>
              <w:rPr>
                <w:b/>
                <w:bCs/>
              </w:rPr>
            </w:pPr>
            <w:r w:rsidRPr="001E4BF0">
              <w:rPr>
                <w:b/>
                <w:bCs/>
              </w:rPr>
              <w:t>Insats</w:t>
            </w:r>
          </w:p>
        </w:tc>
        <w:tc>
          <w:tcPr>
            <w:tcW w:w="2242" w:type="dxa"/>
          </w:tcPr>
          <w:p w14:paraId="7397D418" w14:textId="02C91B22" w:rsidR="001E4BF0" w:rsidRPr="001E4BF0" w:rsidRDefault="001E4BF0" w:rsidP="001E4BF0">
            <w:pPr>
              <w:rPr>
                <w:b/>
                <w:bCs/>
              </w:rPr>
            </w:pPr>
            <w:r w:rsidRPr="001E4BF0">
              <w:rPr>
                <w:b/>
                <w:bCs/>
              </w:rPr>
              <w:t>Belopp i miljoner kronor</w:t>
            </w:r>
          </w:p>
        </w:tc>
      </w:tr>
      <w:tr w:rsidR="001E4BF0" w14:paraId="34B8773D" w14:textId="77777777" w:rsidTr="00F870D7">
        <w:tc>
          <w:tcPr>
            <w:tcW w:w="6062" w:type="dxa"/>
          </w:tcPr>
          <w:p w14:paraId="6CE57707" w14:textId="68337622" w:rsidR="001E4BF0" w:rsidRDefault="00F870D7" w:rsidP="001E4BF0">
            <w:r>
              <w:t>Påbörjat arbete med Region Jämtland Härjedalens strategi för nära vård</w:t>
            </w:r>
          </w:p>
        </w:tc>
        <w:tc>
          <w:tcPr>
            <w:tcW w:w="2242" w:type="dxa"/>
          </w:tcPr>
          <w:p w14:paraId="3A143816" w14:textId="01FEC42D" w:rsidR="001E4BF0" w:rsidRDefault="00F870D7" w:rsidP="001E4BF0">
            <w:r>
              <w:t>10</w:t>
            </w:r>
          </w:p>
        </w:tc>
      </w:tr>
      <w:tr w:rsidR="001E4BF0" w14:paraId="106986EC" w14:textId="77777777" w:rsidTr="00F870D7">
        <w:tc>
          <w:tcPr>
            <w:tcW w:w="6062" w:type="dxa"/>
          </w:tcPr>
          <w:p w14:paraId="23C3316F" w14:textId="245F075D" w:rsidR="001E4BF0" w:rsidRDefault="00F870D7" w:rsidP="001E4BF0">
            <w:r>
              <w:t>Zamsynsdagar 22-23 oktober</w:t>
            </w:r>
          </w:p>
        </w:tc>
        <w:tc>
          <w:tcPr>
            <w:tcW w:w="2242" w:type="dxa"/>
          </w:tcPr>
          <w:p w14:paraId="124C33BD" w14:textId="032E7432" w:rsidR="001E4BF0" w:rsidRDefault="00F870D7" w:rsidP="001E4BF0">
            <w:r>
              <w:t xml:space="preserve">1 </w:t>
            </w:r>
          </w:p>
        </w:tc>
      </w:tr>
      <w:tr w:rsidR="001E4BF0" w14:paraId="049B5475" w14:textId="77777777" w:rsidTr="00F870D7">
        <w:tc>
          <w:tcPr>
            <w:tcW w:w="6062" w:type="dxa"/>
          </w:tcPr>
          <w:p w14:paraId="3B69B41F" w14:textId="5E30F2E6" w:rsidR="001E4BF0" w:rsidRDefault="00F870D7" w:rsidP="001E4BF0">
            <w:r>
              <w:t>Digitalisering och införande av ny teknik</w:t>
            </w:r>
          </w:p>
        </w:tc>
        <w:tc>
          <w:tcPr>
            <w:tcW w:w="2242" w:type="dxa"/>
          </w:tcPr>
          <w:p w14:paraId="612FDF6D" w14:textId="282C5198" w:rsidR="001E4BF0" w:rsidRDefault="00F870D7" w:rsidP="001E4BF0">
            <w:r>
              <w:t>5</w:t>
            </w:r>
          </w:p>
        </w:tc>
      </w:tr>
      <w:tr w:rsidR="001E4BF0" w14:paraId="5842F3D8" w14:textId="77777777" w:rsidTr="00F870D7">
        <w:tc>
          <w:tcPr>
            <w:tcW w:w="6062" w:type="dxa"/>
          </w:tcPr>
          <w:p w14:paraId="5603C9A5" w14:textId="493B06A7" w:rsidR="001E4BF0" w:rsidRDefault="00F870D7" w:rsidP="001E4BF0">
            <w:r>
              <w:t>Utveckling av hälsofrämjande och förebyggande insatser</w:t>
            </w:r>
          </w:p>
        </w:tc>
        <w:tc>
          <w:tcPr>
            <w:tcW w:w="2242" w:type="dxa"/>
          </w:tcPr>
          <w:p w14:paraId="6A5BA12C" w14:textId="47430D3C" w:rsidR="001E4BF0" w:rsidRDefault="00F870D7" w:rsidP="001E4BF0">
            <w:r>
              <w:t>2</w:t>
            </w:r>
          </w:p>
        </w:tc>
      </w:tr>
      <w:tr w:rsidR="001E4BF0" w14:paraId="72F2BB4E" w14:textId="77777777" w:rsidTr="00F870D7">
        <w:tc>
          <w:tcPr>
            <w:tcW w:w="6062" w:type="dxa"/>
          </w:tcPr>
          <w:p w14:paraId="1B917DA9" w14:textId="14B2727B" w:rsidR="001E4BF0" w:rsidRDefault="00F870D7" w:rsidP="001E4BF0">
            <w:r>
              <w:t>Samverkan med kommunerna</w:t>
            </w:r>
          </w:p>
        </w:tc>
        <w:tc>
          <w:tcPr>
            <w:tcW w:w="2242" w:type="dxa"/>
          </w:tcPr>
          <w:p w14:paraId="378E8E38" w14:textId="725F9F8B" w:rsidR="001E4BF0" w:rsidRDefault="00F870D7" w:rsidP="001E4BF0">
            <w:r>
              <w:t>1</w:t>
            </w:r>
          </w:p>
        </w:tc>
      </w:tr>
      <w:tr w:rsidR="001E4BF0" w14:paraId="1A7AD4F2" w14:textId="77777777" w:rsidTr="00F870D7">
        <w:tc>
          <w:tcPr>
            <w:tcW w:w="6062" w:type="dxa"/>
          </w:tcPr>
          <w:p w14:paraId="65088BAE" w14:textId="45D1A8FD" w:rsidR="001E4BF0" w:rsidRPr="00F870D7" w:rsidRDefault="00F870D7" w:rsidP="001E4BF0">
            <w:pPr>
              <w:rPr>
                <w:b/>
                <w:bCs/>
              </w:rPr>
            </w:pPr>
            <w:r w:rsidRPr="00F870D7">
              <w:rPr>
                <w:b/>
                <w:bCs/>
              </w:rPr>
              <w:t>Totalt</w:t>
            </w:r>
          </w:p>
        </w:tc>
        <w:tc>
          <w:tcPr>
            <w:tcW w:w="2242" w:type="dxa"/>
          </w:tcPr>
          <w:p w14:paraId="13E3853B" w14:textId="36B8CD19" w:rsidR="001E4BF0" w:rsidRPr="00F870D7" w:rsidRDefault="00F870D7" w:rsidP="001E4BF0">
            <w:pPr>
              <w:rPr>
                <w:b/>
                <w:bCs/>
              </w:rPr>
            </w:pPr>
            <w:r w:rsidRPr="00F870D7">
              <w:rPr>
                <w:b/>
                <w:bCs/>
              </w:rPr>
              <w:t>19</w:t>
            </w:r>
          </w:p>
        </w:tc>
      </w:tr>
    </w:tbl>
    <w:p w14:paraId="48D0CFDC" w14:textId="3529AB48" w:rsidR="00371DD7" w:rsidRPr="008D0E0D" w:rsidRDefault="00FF539D" w:rsidP="00371DD7">
      <w:pPr>
        <w:pStyle w:val="Rubrik2"/>
        <w:rPr>
          <w:rFonts w:ascii="Verdana" w:hAnsi="Verdana"/>
          <w:b/>
          <w:bCs w:val="0"/>
        </w:rPr>
      </w:pPr>
      <w:r>
        <w:rPr>
          <w:b/>
          <w:bCs w:val="0"/>
        </w:rPr>
        <w:lastRenderedPageBreak/>
        <w:br/>
      </w:r>
      <w:r>
        <w:rPr>
          <w:b/>
          <w:bCs w:val="0"/>
        </w:rPr>
        <w:br/>
      </w:r>
      <w:r w:rsidR="00371DD7" w:rsidRPr="008D0E0D">
        <w:rPr>
          <w:b/>
          <w:bCs w:val="0"/>
        </w:rPr>
        <w:t>Förbättra och utveckla tillgängligheten i primärvården</w:t>
      </w:r>
    </w:p>
    <w:p w14:paraId="0DC3158C" w14:textId="575D0EC9" w:rsidR="00371DD7" w:rsidRDefault="00371DD7" w:rsidP="00371DD7">
      <w:r>
        <w:t>Detta utvecklingsområde handlar om att skapa förutsättningar för landstingen att fortsatt förbättra och utveckla tillgängligheten i primärvården.</w:t>
      </w:r>
      <w:r w:rsidR="00F870D7">
        <w:t xml:space="preserve"> Den förstärkta vårdgarantin är ett led i arbetet med omställningen </w:t>
      </w:r>
      <w:r w:rsidR="002F7BA8">
        <w:t>inom hälso- och sjukvården.</w:t>
      </w:r>
    </w:p>
    <w:p w14:paraId="280D2364" w14:textId="1B137C29" w:rsidR="002F7BA8" w:rsidRDefault="002F7BA8" w:rsidP="00371DD7"/>
    <w:p w14:paraId="558EF9A6" w14:textId="46A0330A" w:rsidR="002F7BA8" w:rsidRDefault="002F7BA8" w:rsidP="00371DD7">
      <w:r>
        <w:t>Medel i överenskommelsen kan exempelvis användas till nya och utvecklade arbetssätt, till att säkra och kompetensförsörjningen med åtgärder för att attrahera och behålla personal, digitala kontaktvägar för patienterna utifrån deras behov, förändrad väntetidsuppföljning, utökade öppettider och liknande åtgärder som ger patienten en snabbare vård än med tidigare vårdgaranti.</w:t>
      </w:r>
    </w:p>
    <w:p w14:paraId="0AD2EF29" w14:textId="592DBA48" w:rsidR="002F7BA8" w:rsidRDefault="002F7BA8" w:rsidP="00371DD7"/>
    <w:p w14:paraId="4A503373" w14:textId="61CDF902" w:rsidR="002F7BA8" w:rsidRDefault="002F7BA8" w:rsidP="00371DD7">
      <w:r>
        <w:t>För att få ta del av medlen ska landstingen genomföra:</w:t>
      </w:r>
    </w:p>
    <w:p w14:paraId="59A1367C" w14:textId="77777777" w:rsidR="001153D8" w:rsidRDefault="004D4427" w:rsidP="004D4427">
      <w:pPr>
        <w:pStyle w:val="Liststycke"/>
        <w:numPr>
          <w:ilvl w:val="0"/>
          <w:numId w:val="6"/>
        </w:numPr>
        <w:autoSpaceDE w:val="0"/>
        <w:autoSpaceDN w:val="0"/>
        <w:adjustRightInd w:val="0"/>
        <w:spacing w:after="190"/>
        <w:rPr>
          <w:rFonts w:asciiTheme="majorHAnsi" w:hAnsiTheme="majorHAnsi" w:cs="Calibri"/>
          <w:color w:val="000000"/>
          <w:szCs w:val="20"/>
        </w:rPr>
      </w:pPr>
      <w:r w:rsidRPr="001153D8">
        <w:rPr>
          <w:rFonts w:asciiTheme="majorHAnsi" w:hAnsiTheme="majorHAnsi" w:cs="Calibri"/>
          <w:color w:val="000000"/>
          <w:szCs w:val="20"/>
        </w:rPr>
        <w:t xml:space="preserve">Insatser för att utveckla och förändra arbetssätt eller andra insatser som stödjer arbetet med den förstärkta vårdgarantin. </w:t>
      </w:r>
    </w:p>
    <w:p w14:paraId="442E70CB" w14:textId="18B412CF" w:rsidR="004D4427" w:rsidRPr="001153D8" w:rsidRDefault="004D4427" w:rsidP="004D4427">
      <w:pPr>
        <w:pStyle w:val="Liststycke"/>
        <w:numPr>
          <w:ilvl w:val="0"/>
          <w:numId w:val="6"/>
        </w:numPr>
        <w:autoSpaceDE w:val="0"/>
        <w:autoSpaceDN w:val="0"/>
        <w:adjustRightInd w:val="0"/>
        <w:spacing w:after="190"/>
        <w:rPr>
          <w:rFonts w:asciiTheme="majorHAnsi" w:hAnsiTheme="majorHAnsi" w:cs="Calibri"/>
          <w:color w:val="000000"/>
          <w:szCs w:val="20"/>
        </w:rPr>
      </w:pPr>
      <w:r w:rsidRPr="001153D8">
        <w:rPr>
          <w:rFonts w:asciiTheme="majorHAnsi" w:hAnsiTheme="majorHAnsi" w:cs="Calibri"/>
          <w:color w:val="000000"/>
          <w:szCs w:val="20"/>
        </w:rPr>
        <w:t xml:space="preserve">Rapportera alla besök i primärvården till den nationella väntetidsdatabasen, i enlighet med modellen för utvecklad uppföljning av primärvård. Resultatet ska användas för att förbättra tillgängligheten och därmed servicegraden för patienterna </w:t>
      </w:r>
    </w:p>
    <w:p w14:paraId="101E618C" w14:textId="046CA6BA" w:rsidR="00371DD7" w:rsidRDefault="00371DD7" w:rsidP="00371DD7"/>
    <w:p w14:paraId="0954D135" w14:textId="087BF608" w:rsidR="002F7BA8" w:rsidRPr="001E4BF0" w:rsidRDefault="002F7BA8" w:rsidP="002F7BA8">
      <w:pPr>
        <w:rPr>
          <w:b/>
          <w:bCs/>
        </w:rPr>
      </w:pPr>
      <w:r w:rsidRPr="001E4BF0">
        <w:rPr>
          <w:b/>
          <w:bCs/>
        </w:rPr>
        <w:t xml:space="preserve">Utifrån den fördelning som anges i överenskommelsen ska </w:t>
      </w:r>
      <w:r>
        <w:rPr>
          <w:b/>
          <w:bCs/>
        </w:rPr>
        <w:t>5,8</w:t>
      </w:r>
      <w:r w:rsidRPr="001E4BF0">
        <w:rPr>
          <w:b/>
          <w:bCs/>
        </w:rPr>
        <w:t xml:space="preserve"> mkr gå till detta område enligt följande förslag</w:t>
      </w:r>
      <w:r>
        <w:rPr>
          <w:b/>
          <w:bCs/>
        </w:rPr>
        <w:t>:</w:t>
      </w:r>
      <w:r w:rsidRPr="001E4BF0">
        <w:rPr>
          <w:b/>
          <w:bCs/>
        </w:rPr>
        <w:br/>
      </w:r>
    </w:p>
    <w:tbl>
      <w:tblPr>
        <w:tblStyle w:val="Tabellrutnt"/>
        <w:tblW w:w="0" w:type="auto"/>
        <w:tblLook w:val="04A0" w:firstRow="1" w:lastRow="0" w:firstColumn="1" w:lastColumn="0" w:noHBand="0" w:noVBand="1"/>
      </w:tblPr>
      <w:tblGrid>
        <w:gridCol w:w="5948"/>
        <w:gridCol w:w="2206"/>
      </w:tblGrid>
      <w:tr w:rsidR="002F7BA8" w:rsidRPr="001E4BF0" w14:paraId="555BCD8A" w14:textId="77777777" w:rsidTr="00294640">
        <w:tc>
          <w:tcPr>
            <w:tcW w:w="6062" w:type="dxa"/>
          </w:tcPr>
          <w:p w14:paraId="15EA8AFD" w14:textId="77777777" w:rsidR="002F7BA8" w:rsidRPr="001E4BF0" w:rsidRDefault="002F7BA8" w:rsidP="00294640">
            <w:pPr>
              <w:rPr>
                <w:b/>
                <w:bCs/>
              </w:rPr>
            </w:pPr>
            <w:r w:rsidRPr="001E4BF0">
              <w:rPr>
                <w:b/>
                <w:bCs/>
              </w:rPr>
              <w:t>Insats</w:t>
            </w:r>
          </w:p>
        </w:tc>
        <w:tc>
          <w:tcPr>
            <w:tcW w:w="2242" w:type="dxa"/>
          </w:tcPr>
          <w:p w14:paraId="61E2D03E" w14:textId="77777777" w:rsidR="002F7BA8" w:rsidRPr="001E4BF0" w:rsidRDefault="002F7BA8" w:rsidP="00294640">
            <w:pPr>
              <w:rPr>
                <w:b/>
                <w:bCs/>
              </w:rPr>
            </w:pPr>
            <w:r w:rsidRPr="001E4BF0">
              <w:rPr>
                <w:b/>
                <w:bCs/>
              </w:rPr>
              <w:t>Belopp i miljoner kronor</w:t>
            </w:r>
          </w:p>
        </w:tc>
      </w:tr>
      <w:tr w:rsidR="002F7BA8" w14:paraId="7EB0AD8B" w14:textId="77777777" w:rsidTr="00294640">
        <w:tc>
          <w:tcPr>
            <w:tcW w:w="6062" w:type="dxa"/>
          </w:tcPr>
          <w:p w14:paraId="3DE8FA01" w14:textId="397CD077" w:rsidR="002F7BA8" w:rsidRDefault="002F7BA8" w:rsidP="00294640">
            <w:r>
              <w:t>För</w:t>
            </w:r>
            <w:r w:rsidR="00ED1965">
              <w:t>bättrad</w:t>
            </w:r>
            <w:r>
              <w:t xml:space="preserve"> väntetidsuppföljning</w:t>
            </w:r>
          </w:p>
        </w:tc>
        <w:tc>
          <w:tcPr>
            <w:tcW w:w="2242" w:type="dxa"/>
          </w:tcPr>
          <w:p w14:paraId="2DCBCE28" w14:textId="2F266CAF" w:rsidR="002F7BA8" w:rsidRDefault="002F7BA8" w:rsidP="00294640">
            <w:r>
              <w:t>1</w:t>
            </w:r>
          </w:p>
        </w:tc>
      </w:tr>
      <w:tr w:rsidR="002F7BA8" w14:paraId="5FE34918" w14:textId="77777777" w:rsidTr="00294640">
        <w:tc>
          <w:tcPr>
            <w:tcW w:w="6062" w:type="dxa"/>
          </w:tcPr>
          <w:p w14:paraId="5AFEA59B" w14:textId="55170FD7" w:rsidR="002F7BA8" w:rsidRDefault="002F7BA8" w:rsidP="00294640">
            <w:r>
              <w:t>Digitala kontaktvägar (ex digitala vårdgivare)</w:t>
            </w:r>
          </w:p>
        </w:tc>
        <w:tc>
          <w:tcPr>
            <w:tcW w:w="2242" w:type="dxa"/>
          </w:tcPr>
          <w:p w14:paraId="76240BBD" w14:textId="70C77EF3" w:rsidR="002F7BA8" w:rsidRDefault="002F7BA8" w:rsidP="00294640">
            <w:r>
              <w:t>2</w:t>
            </w:r>
          </w:p>
        </w:tc>
      </w:tr>
      <w:tr w:rsidR="002F7BA8" w14:paraId="7D65A8F9" w14:textId="77777777" w:rsidTr="00294640">
        <w:tc>
          <w:tcPr>
            <w:tcW w:w="6062" w:type="dxa"/>
          </w:tcPr>
          <w:p w14:paraId="2D780C3D" w14:textId="7F1F669A" w:rsidR="002F7BA8" w:rsidRDefault="002F7BA8" w:rsidP="00294640">
            <w:r>
              <w:t>Utökade öppettider</w:t>
            </w:r>
          </w:p>
        </w:tc>
        <w:tc>
          <w:tcPr>
            <w:tcW w:w="2242" w:type="dxa"/>
          </w:tcPr>
          <w:p w14:paraId="717A56ED" w14:textId="72B00CCA" w:rsidR="002F7BA8" w:rsidRDefault="002F7BA8" w:rsidP="00294640">
            <w:r>
              <w:t>1</w:t>
            </w:r>
          </w:p>
        </w:tc>
      </w:tr>
      <w:tr w:rsidR="002F7BA8" w14:paraId="1DF49455" w14:textId="77777777" w:rsidTr="00294640">
        <w:tc>
          <w:tcPr>
            <w:tcW w:w="6062" w:type="dxa"/>
          </w:tcPr>
          <w:p w14:paraId="4010416F" w14:textId="63EBF896" w:rsidR="002F7BA8" w:rsidRDefault="002F7BA8" w:rsidP="00294640">
            <w:r>
              <w:t>Förändrade arbetssätt</w:t>
            </w:r>
          </w:p>
        </w:tc>
        <w:tc>
          <w:tcPr>
            <w:tcW w:w="2242" w:type="dxa"/>
          </w:tcPr>
          <w:p w14:paraId="4AAB053B" w14:textId="5F8C9EEF" w:rsidR="002F7BA8" w:rsidRDefault="002F7BA8" w:rsidP="00294640">
            <w:r>
              <w:t>1,8</w:t>
            </w:r>
          </w:p>
        </w:tc>
      </w:tr>
      <w:tr w:rsidR="002F7BA8" w14:paraId="3443F7D6" w14:textId="77777777" w:rsidTr="00294640">
        <w:tc>
          <w:tcPr>
            <w:tcW w:w="6062" w:type="dxa"/>
          </w:tcPr>
          <w:p w14:paraId="4AEB49EF" w14:textId="3AE82BD3" w:rsidR="002F7BA8" w:rsidRDefault="002F7BA8" w:rsidP="002F7BA8">
            <w:r w:rsidRPr="00F870D7">
              <w:rPr>
                <w:b/>
                <w:bCs/>
              </w:rPr>
              <w:t>Totalt</w:t>
            </w:r>
          </w:p>
        </w:tc>
        <w:tc>
          <w:tcPr>
            <w:tcW w:w="2242" w:type="dxa"/>
          </w:tcPr>
          <w:p w14:paraId="3F80337C" w14:textId="093C0054" w:rsidR="002F7BA8" w:rsidRPr="002F7BA8" w:rsidRDefault="002F7BA8" w:rsidP="002F7BA8">
            <w:pPr>
              <w:rPr>
                <w:b/>
                <w:bCs/>
              </w:rPr>
            </w:pPr>
            <w:r w:rsidRPr="002F7BA8">
              <w:rPr>
                <w:b/>
                <w:bCs/>
              </w:rPr>
              <w:t>5,8</w:t>
            </w:r>
          </w:p>
        </w:tc>
      </w:tr>
    </w:tbl>
    <w:p w14:paraId="5744E6BD" w14:textId="77777777" w:rsidR="002F7BA8" w:rsidRDefault="002F7BA8" w:rsidP="00371DD7"/>
    <w:p w14:paraId="7890E87C" w14:textId="77777777" w:rsidR="00371DD7" w:rsidRPr="008D0E0D" w:rsidRDefault="00371DD7" w:rsidP="00371DD7">
      <w:pPr>
        <w:pStyle w:val="Rubrik2"/>
        <w:rPr>
          <w:b/>
          <w:bCs w:val="0"/>
        </w:rPr>
      </w:pPr>
      <w:bookmarkStart w:id="12" w:name="_Toc511390065"/>
      <w:r w:rsidRPr="008D0E0D">
        <w:rPr>
          <w:b/>
          <w:bCs w:val="0"/>
        </w:rPr>
        <w:t>Patientkontrakt</w:t>
      </w:r>
      <w:bookmarkEnd w:id="12"/>
      <w:r w:rsidRPr="008D0E0D">
        <w:rPr>
          <w:b/>
          <w:bCs w:val="0"/>
        </w:rPr>
        <w:t xml:space="preserve"> och andra sätt att främja samordning, samverkan och ökad delaktighet</w:t>
      </w:r>
    </w:p>
    <w:p w14:paraId="6A33D8D3" w14:textId="536C1C0A" w:rsidR="00371DD7" w:rsidRDefault="00371DD7" w:rsidP="00371DD7">
      <w:r>
        <w:t>Detta utvecklingsområde handlar om att främja förutsättningar för samordning av vårdinsatser, samverkan mellan vårdaktörer och ökad delaktighet för patienter.</w:t>
      </w:r>
    </w:p>
    <w:p w14:paraId="757C8FA9" w14:textId="77777777" w:rsidR="002F7BA8" w:rsidRDefault="002F7BA8" w:rsidP="00371DD7"/>
    <w:p w14:paraId="1ABEE3ED" w14:textId="046CE3E7" w:rsidR="00093EFD" w:rsidRPr="00093EFD" w:rsidRDefault="00093EFD" w:rsidP="00093EFD">
      <w:pPr>
        <w:autoSpaceDE w:val="0"/>
        <w:autoSpaceDN w:val="0"/>
        <w:adjustRightInd w:val="0"/>
        <w:rPr>
          <w:rFonts w:asciiTheme="majorHAnsi" w:hAnsiTheme="majorHAnsi" w:cs="Calibri"/>
          <w:color w:val="000000"/>
          <w:szCs w:val="20"/>
        </w:rPr>
      </w:pPr>
      <w:r w:rsidRPr="000700AE">
        <w:rPr>
          <w:rFonts w:asciiTheme="majorHAnsi" w:hAnsiTheme="majorHAnsi" w:cs="Calibri"/>
          <w:color w:val="000000"/>
          <w:szCs w:val="20"/>
        </w:rPr>
        <w:t xml:space="preserve">Patientkontrakt </w:t>
      </w:r>
      <w:r w:rsidRPr="00093EFD">
        <w:rPr>
          <w:rFonts w:asciiTheme="majorHAnsi" w:hAnsiTheme="majorHAnsi" w:cs="Calibri"/>
          <w:color w:val="000000"/>
          <w:szCs w:val="20"/>
        </w:rPr>
        <w:t>är både en överenskommelse mellan vården och patienten och en teknisk lösning som ska underlätta samordningen av patientens vårdinsatser. I första hand ska patientkontrakt erbjudas patienter med omfattande och komplexa vårdbehov. Patientkontraktet ska innehålla de vårdinsatser som vårdgivare och vårdtagare har kommit överens om</w:t>
      </w:r>
      <w:r w:rsidRPr="000700AE">
        <w:rPr>
          <w:rFonts w:asciiTheme="majorHAnsi" w:hAnsiTheme="majorHAnsi" w:cs="Calibri"/>
          <w:color w:val="000000"/>
          <w:szCs w:val="20"/>
        </w:rPr>
        <w:t>, oavsett huvudman</w:t>
      </w:r>
      <w:r w:rsidRPr="00093EFD">
        <w:rPr>
          <w:rFonts w:asciiTheme="majorHAnsi" w:hAnsiTheme="majorHAnsi" w:cs="Calibri"/>
          <w:color w:val="000000"/>
          <w:szCs w:val="20"/>
        </w:rPr>
        <w:t xml:space="preserve">, inklusive de insatser som patienten själva ansvarar för. I detta ingår även hälsofrämjande och förebyggande insatser. </w:t>
      </w:r>
    </w:p>
    <w:p w14:paraId="09650B3D" w14:textId="77777777" w:rsidR="000700AE" w:rsidRPr="000700AE" w:rsidRDefault="000700AE" w:rsidP="00093EFD">
      <w:pPr>
        <w:autoSpaceDE w:val="0"/>
        <w:autoSpaceDN w:val="0"/>
        <w:adjustRightInd w:val="0"/>
        <w:rPr>
          <w:rFonts w:asciiTheme="majorHAnsi" w:hAnsiTheme="majorHAnsi" w:cs="Calibri"/>
          <w:color w:val="000000"/>
          <w:szCs w:val="20"/>
        </w:rPr>
      </w:pPr>
    </w:p>
    <w:p w14:paraId="08E04982" w14:textId="77777777" w:rsidR="000700AE" w:rsidRDefault="00093EFD" w:rsidP="00093EFD">
      <w:pPr>
        <w:autoSpaceDE w:val="0"/>
        <w:autoSpaceDN w:val="0"/>
        <w:adjustRightInd w:val="0"/>
        <w:rPr>
          <w:rFonts w:ascii="Calibri" w:hAnsi="Calibri" w:cs="Calibri"/>
          <w:color w:val="000000"/>
          <w:sz w:val="22"/>
        </w:rPr>
      </w:pPr>
      <w:r w:rsidRPr="00093EFD">
        <w:rPr>
          <w:rFonts w:asciiTheme="majorHAnsi" w:hAnsiTheme="majorHAnsi" w:cs="Calibri"/>
          <w:color w:val="000000"/>
          <w:szCs w:val="20"/>
        </w:rPr>
        <w:t>Hälso- och sjukvården ska ansvara för samordning och koordinering av vårdinsatserna genom en fast vårdkontakt. För att patientkontrakt ska fungera i praktiken krävs utvecklade arbetssätt som inte leder till merarbete och administration</w:t>
      </w:r>
      <w:r w:rsidRPr="00093EFD">
        <w:rPr>
          <w:rFonts w:ascii="Calibri" w:hAnsi="Calibri" w:cs="Calibri"/>
          <w:color w:val="000000"/>
          <w:sz w:val="22"/>
        </w:rPr>
        <w:t xml:space="preserve">. </w:t>
      </w:r>
    </w:p>
    <w:p w14:paraId="3FED4A6A" w14:textId="4AE1BA9B" w:rsidR="000700AE" w:rsidRDefault="00093EFD" w:rsidP="000700AE">
      <w:pPr>
        <w:autoSpaceDE w:val="0"/>
        <w:autoSpaceDN w:val="0"/>
        <w:adjustRightInd w:val="0"/>
        <w:rPr>
          <w:rFonts w:ascii="Calibri" w:hAnsi="Calibri" w:cs="Calibri"/>
          <w:color w:val="000000"/>
          <w:sz w:val="22"/>
        </w:rPr>
      </w:pPr>
      <w:r w:rsidRPr="00093EFD">
        <w:rPr>
          <w:rFonts w:asciiTheme="majorHAnsi" w:hAnsiTheme="majorHAnsi" w:cs="Calibri"/>
          <w:color w:val="000000"/>
          <w:szCs w:val="20"/>
        </w:rPr>
        <w:t>Patientkontrakt kommer också underlätta delaktighet för patienter och närstående i planeringen av vårdinsatserna. Genom planen kommer patienten kunna följa inplanerade vårdinsatser och rapportera hur väl de fungerar.</w:t>
      </w:r>
      <w:r w:rsidRPr="00093EFD">
        <w:rPr>
          <w:rFonts w:ascii="Calibri" w:hAnsi="Calibri" w:cs="Calibri"/>
          <w:color w:val="000000"/>
          <w:sz w:val="22"/>
        </w:rPr>
        <w:t xml:space="preserve"> </w:t>
      </w:r>
    </w:p>
    <w:p w14:paraId="50C09C2E" w14:textId="77777777" w:rsidR="000700AE" w:rsidRDefault="000700AE" w:rsidP="000700AE">
      <w:pPr>
        <w:autoSpaceDE w:val="0"/>
        <w:autoSpaceDN w:val="0"/>
        <w:adjustRightInd w:val="0"/>
        <w:rPr>
          <w:rFonts w:ascii="Calibri" w:hAnsi="Calibri" w:cs="Calibri"/>
          <w:color w:val="000000"/>
          <w:sz w:val="22"/>
        </w:rPr>
      </w:pPr>
    </w:p>
    <w:p w14:paraId="4FD74BC9" w14:textId="006F9DE3" w:rsidR="00093EFD" w:rsidRPr="000700AE" w:rsidRDefault="00093EFD" w:rsidP="00093EFD">
      <w:pPr>
        <w:autoSpaceDE w:val="0"/>
        <w:autoSpaceDN w:val="0"/>
        <w:adjustRightInd w:val="0"/>
        <w:rPr>
          <w:rFonts w:asciiTheme="majorHAnsi" w:hAnsiTheme="majorHAnsi" w:cs="Calibri"/>
          <w:szCs w:val="20"/>
        </w:rPr>
      </w:pPr>
      <w:r w:rsidRPr="00093EFD">
        <w:rPr>
          <w:rFonts w:asciiTheme="majorHAnsi" w:hAnsiTheme="majorHAnsi" w:cs="Calibri"/>
          <w:szCs w:val="20"/>
        </w:rPr>
        <w:t xml:space="preserve">Arbetet med patientkontrakt måste vara starkt kopplat till värderingar, attityder och kultur i hälso- och sjukvården. Det kräver ett strukturerat och långsiktigt arbete som utmärks av att helhetssyn och individanpassning av patientens vårdinsatser utifrån lokala och regionala förutsättningar. Arbetet med patientkontrakt är en av flera delar i ett personcentrerat arbetssätt. </w:t>
      </w:r>
    </w:p>
    <w:p w14:paraId="5508BA59" w14:textId="77777777" w:rsidR="000700AE" w:rsidRPr="00093EFD" w:rsidRDefault="000700AE" w:rsidP="00093EFD">
      <w:pPr>
        <w:autoSpaceDE w:val="0"/>
        <w:autoSpaceDN w:val="0"/>
        <w:adjustRightInd w:val="0"/>
        <w:rPr>
          <w:rFonts w:ascii="Calibri" w:hAnsi="Calibri" w:cs="Calibri"/>
          <w:sz w:val="22"/>
        </w:rPr>
      </w:pPr>
    </w:p>
    <w:p w14:paraId="74334B5F" w14:textId="083482AE" w:rsidR="00093EFD" w:rsidRDefault="00093EFD" w:rsidP="00093EFD">
      <w:pPr>
        <w:autoSpaceDE w:val="0"/>
        <w:autoSpaceDN w:val="0"/>
        <w:adjustRightInd w:val="0"/>
        <w:rPr>
          <w:rFonts w:ascii="Calibri" w:hAnsi="Calibri" w:cs="Calibri"/>
          <w:sz w:val="22"/>
        </w:rPr>
      </w:pPr>
      <w:r w:rsidRPr="00093EFD">
        <w:rPr>
          <w:rFonts w:asciiTheme="majorHAnsi" w:hAnsiTheme="majorHAnsi" w:cs="Calibri"/>
          <w:szCs w:val="20"/>
        </w:rPr>
        <w:t>En central utgångspunkt för omställningen till en god och nära vård är utvecklingen av en personcentrerad hälso- och sjukvård. Det är också en indikator i god vård som förekommer i landstingens och SKL:s gemensamma arbete med kunskapsstyrning. Patientkontrakt är ett av flera verktyg som bidrar till utvecklingen av personcentrerad vård</w:t>
      </w:r>
      <w:r w:rsidRPr="00093EFD">
        <w:rPr>
          <w:rFonts w:ascii="Calibri" w:hAnsi="Calibri" w:cs="Calibri"/>
          <w:sz w:val="22"/>
        </w:rPr>
        <w:t xml:space="preserve">. </w:t>
      </w:r>
    </w:p>
    <w:p w14:paraId="61860B40" w14:textId="77777777" w:rsidR="000700AE" w:rsidRPr="00093EFD" w:rsidRDefault="000700AE" w:rsidP="00093EFD">
      <w:pPr>
        <w:autoSpaceDE w:val="0"/>
        <w:autoSpaceDN w:val="0"/>
        <w:adjustRightInd w:val="0"/>
        <w:rPr>
          <w:rFonts w:asciiTheme="majorHAnsi" w:hAnsiTheme="majorHAnsi" w:cs="Calibri"/>
          <w:szCs w:val="20"/>
        </w:rPr>
      </w:pPr>
    </w:p>
    <w:p w14:paraId="0ED64A71" w14:textId="78CD4917" w:rsidR="00093EFD" w:rsidRPr="00093EFD" w:rsidRDefault="00093EFD" w:rsidP="00093EFD">
      <w:pPr>
        <w:autoSpaceDE w:val="0"/>
        <w:autoSpaceDN w:val="0"/>
        <w:adjustRightInd w:val="0"/>
        <w:rPr>
          <w:rFonts w:asciiTheme="majorHAnsi" w:hAnsiTheme="majorHAnsi" w:cs="Calibri"/>
          <w:szCs w:val="20"/>
        </w:rPr>
      </w:pPr>
      <w:r w:rsidRPr="00093EFD">
        <w:rPr>
          <w:rFonts w:asciiTheme="majorHAnsi" w:hAnsiTheme="majorHAnsi" w:cs="Calibri"/>
          <w:szCs w:val="20"/>
        </w:rPr>
        <w:t xml:space="preserve">Inom ramen för en nationell satsning på cancervården har Min vårdplan cancer utvecklats. Den innebär att vården tillsammans med de patienter som utreds och behandlas för cancer upprättar en vårdplan med hjälp av ett digitalt verktyg. Arbetet med patientkontrakt och Min vårdplan cancer ska integreras. Detta kommer att utgöra ett första steg mot en digitaliserad vy som spänner över patientens samtliga vårdkontakter. I det ingår att fler personer med kronisk sjukdom ska erbjudas patientkontrakt och att insatser som rör den kommunala hälso- och sjukvården samt hälsofrämjande och förebyggande insatser ingår som en naturlig del i patientkontrakten. På detta sätt ska patientkontrakt kunna utvecklas vidare.  </w:t>
      </w:r>
    </w:p>
    <w:p w14:paraId="4DF27A56" w14:textId="77777777" w:rsidR="00093EFD" w:rsidRPr="00093EFD" w:rsidRDefault="00093EFD" w:rsidP="00093EFD">
      <w:pPr>
        <w:autoSpaceDE w:val="0"/>
        <w:autoSpaceDN w:val="0"/>
        <w:adjustRightInd w:val="0"/>
        <w:rPr>
          <w:rFonts w:ascii="Calibri" w:hAnsi="Calibri" w:cs="Calibri"/>
          <w:sz w:val="24"/>
          <w:szCs w:val="24"/>
        </w:rPr>
      </w:pPr>
    </w:p>
    <w:p w14:paraId="3EEE7F5D" w14:textId="4D9267BB" w:rsidR="001153D8" w:rsidRPr="00351171" w:rsidRDefault="00093EFD" w:rsidP="00093EFD">
      <w:pPr>
        <w:rPr>
          <w:rFonts w:asciiTheme="majorHAnsi" w:hAnsiTheme="majorHAnsi"/>
          <w:szCs w:val="20"/>
        </w:rPr>
      </w:pPr>
      <w:r w:rsidRPr="00351171">
        <w:rPr>
          <w:rFonts w:asciiTheme="majorHAnsi" w:hAnsiTheme="majorHAnsi" w:cs="Calibri"/>
          <w:szCs w:val="20"/>
        </w:rPr>
        <w:t>För att ta del av medlen för detta utvecklingsområde ska landstingen fortsätta utveckla arbetet med att få en mer personcentrerad vård. Det kan till exempel ske genom införandet av patientkontrakt.</w:t>
      </w:r>
    </w:p>
    <w:p w14:paraId="1E049F2D" w14:textId="2FD005A2" w:rsidR="001153D8" w:rsidRDefault="00351171" w:rsidP="001153D8">
      <w:r>
        <w:t>L</w:t>
      </w:r>
      <w:r w:rsidR="001153D8">
        <w:t>andstingen</w:t>
      </w:r>
      <w:r>
        <w:t xml:space="preserve"> ska</w:t>
      </w:r>
      <w:r w:rsidR="001153D8">
        <w:t>:</w:t>
      </w:r>
    </w:p>
    <w:p w14:paraId="6CD960F2" w14:textId="77777777" w:rsidR="001153D8" w:rsidRDefault="001153D8" w:rsidP="001153D8">
      <w:pPr>
        <w:pStyle w:val="Liststycke"/>
        <w:numPr>
          <w:ilvl w:val="0"/>
          <w:numId w:val="7"/>
        </w:numPr>
        <w:autoSpaceDE w:val="0"/>
        <w:autoSpaceDN w:val="0"/>
        <w:adjustRightInd w:val="0"/>
        <w:spacing w:after="190"/>
        <w:rPr>
          <w:rFonts w:asciiTheme="majorHAnsi" w:hAnsiTheme="majorHAnsi" w:cs="Calibri"/>
          <w:color w:val="000000"/>
          <w:szCs w:val="20"/>
        </w:rPr>
      </w:pPr>
      <w:r w:rsidRPr="001153D8">
        <w:rPr>
          <w:rFonts w:asciiTheme="majorHAnsi" w:hAnsiTheme="majorHAnsi" w:cs="Calibri"/>
          <w:color w:val="000000"/>
          <w:szCs w:val="20"/>
        </w:rPr>
        <w:t xml:space="preserve">ha dokumenterade rutiner införda i verksamheten för etablering av fast vårdkontakt </w:t>
      </w:r>
    </w:p>
    <w:p w14:paraId="4602B6D5" w14:textId="77777777" w:rsidR="001153D8" w:rsidRDefault="001153D8" w:rsidP="001153D8">
      <w:pPr>
        <w:pStyle w:val="Liststycke"/>
        <w:numPr>
          <w:ilvl w:val="0"/>
          <w:numId w:val="7"/>
        </w:numPr>
        <w:autoSpaceDE w:val="0"/>
        <w:autoSpaceDN w:val="0"/>
        <w:adjustRightInd w:val="0"/>
        <w:spacing w:after="190"/>
        <w:rPr>
          <w:rFonts w:asciiTheme="majorHAnsi" w:hAnsiTheme="majorHAnsi" w:cs="Calibri"/>
          <w:color w:val="000000"/>
          <w:szCs w:val="20"/>
        </w:rPr>
      </w:pPr>
      <w:r w:rsidRPr="00FF539D">
        <w:rPr>
          <w:rFonts w:cs="Calibri"/>
          <w:color w:val="000000"/>
          <w:szCs w:val="20"/>
        </w:rPr>
        <w:t>fortsätta</w:t>
      </w:r>
      <w:r w:rsidRPr="001153D8">
        <w:rPr>
          <w:rFonts w:asciiTheme="majorHAnsi" w:hAnsiTheme="majorHAnsi" w:cs="Calibri"/>
          <w:color w:val="000000"/>
          <w:szCs w:val="20"/>
        </w:rPr>
        <w:t xml:space="preserve"> arbetet med att genomföra ett breddinförande av webbtidsbokning </w:t>
      </w:r>
    </w:p>
    <w:p w14:paraId="007A58B2" w14:textId="77777777" w:rsidR="001153D8" w:rsidRDefault="001153D8" w:rsidP="001153D8">
      <w:pPr>
        <w:pStyle w:val="Liststycke"/>
        <w:numPr>
          <w:ilvl w:val="0"/>
          <w:numId w:val="7"/>
        </w:numPr>
        <w:autoSpaceDE w:val="0"/>
        <w:autoSpaceDN w:val="0"/>
        <w:adjustRightInd w:val="0"/>
        <w:spacing w:after="190"/>
        <w:rPr>
          <w:rFonts w:asciiTheme="majorHAnsi" w:hAnsiTheme="majorHAnsi" w:cs="Calibri"/>
          <w:color w:val="000000"/>
          <w:szCs w:val="20"/>
        </w:rPr>
      </w:pPr>
      <w:r w:rsidRPr="001153D8">
        <w:rPr>
          <w:rFonts w:asciiTheme="majorHAnsi" w:hAnsiTheme="majorHAnsi" w:cs="Calibri"/>
          <w:color w:val="000000"/>
          <w:szCs w:val="20"/>
        </w:rPr>
        <w:t xml:space="preserve">stödja utvecklingen av systemet med patientkontrakt på 1177 Vårdguiden </w:t>
      </w:r>
    </w:p>
    <w:p w14:paraId="21B92288" w14:textId="60037A5E" w:rsidR="001153D8" w:rsidRPr="001153D8" w:rsidRDefault="001153D8" w:rsidP="001153D8">
      <w:pPr>
        <w:pStyle w:val="Liststycke"/>
        <w:numPr>
          <w:ilvl w:val="0"/>
          <w:numId w:val="7"/>
        </w:numPr>
        <w:autoSpaceDE w:val="0"/>
        <w:autoSpaceDN w:val="0"/>
        <w:adjustRightInd w:val="0"/>
        <w:spacing w:after="190"/>
        <w:rPr>
          <w:rFonts w:asciiTheme="majorHAnsi" w:hAnsiTheme="majorHAnsi" w:cs="Calibri"/>
          <w:color w:val="000000"/>
          <w:szCs w:val="20"/>
        </w:rPr>
      </w:pPr>
      <w:r w:rsidRPr="001153D8">
        <w:rPr>
          <w:rFonts w:asciiTheme="majorHAnsi" w:hAnsiTheme="majorHAnsi" w:cs="Calibri"/>
          <w:color w:val="000000"/>
          <w:szCs w:val="20"/>
        </w:rPr>
        <w:t xml:space="preserve">redovisa för vilket förbättringsarbete som har inletts när det gäller gemensamma överenskommelse, överenskomna tider, samordning och samverkan. </w:t>
      </w:r>
    </w:p>
    <w:p w14:paraId="4368940D" w14:textId="77777777" w:rsidR="001153D8" w:rsidRDefault="001153D8" w:rsidP="00371DD7"/>
    <w:p w14:paraId="170C8BC1" w14:textId="77777777" w:rsidR="002F7BA8" w:rsidRPr="001E4BF0" w:rsidRDefault="002F7BA8" w:rsidP="002F7BA8">
      <w:pPr>
        <w:rPr>
          <w:b/>
          <w:bCs/>
        </w:rPr>
      </w:pPr>
      <w:r w:rsidRPr="001E4BF0">
        <w:rPr>
          <w:b/>
          <w:bCs/>
        </w:rPr>
        <w:t xml:space="preserve">Utifrån den fördelning som anges i överenskommelsen ska </w:t>
      </w:r>
      <w:r>
        <w:rPr>
          <w:b/>
          <w:bCs/>
        </w:rPr>
        <w:t>5,8</w:t>
      </w:r>
      <w:r w:rsidRPr="001E4BF0">
        <w:rPr>
          <w:b/>
          <w:bCs/>
        </w:rPr>
        <w:t xml:space="preserve"> mkr gå till detta område enligt följande förslag</w:t>
      </w:r>
      <w:r>
        <w:rPr>
          <w:b/>
          <w:bCs/>
        </w:rPr>
        <w:t>:</w:t>
      </w:r>
      <w:r w:rsidRPr="001E4BF0">
        <w:rPr>
          <w:b/>
          <w:bCs/>
        </w:rPr>
        <w:br/>
      </w:r>
    </w:p>
    <w:tbl>
      <w:tblPr>
        <w:tblStyle w:val="Tabellrutnt"/>
        <w:tblW w:w="0" w:type="auto"/>
        <w:tblLook w:val="04A0" w:firstRow="1" w:lastRow="0" w:firstColumn="1" w:lastColumn="0" w:noHBand="0" w:noVBand="1"/>
      </w:tblPr>
      <w:tblGrid>
        <w:gridCol w:w="5947"/>
        <w:gridCol w:w="2207"/>
      </w:tblGrid>
      <w:tr w:rsidR="002F7BA8" w:rsidRPr="001E4BF0" w14:paraId="68EFCB3F" w14:textId="77777777" w:rsidTr="00294640">
        <w:tc>
          <w:tcPr>
            <w:tcW w:w="6062" w:type="dxa"/>
          </w:tcPr>
          <w:p w14:paraId="575A24E2" w14:textId="77777777" w:rsidR="002F7BA8" w:rsidRPr="001E4BF0" w:rsidRDefault="002F7BA8" w:rsidP="00294640">
            <w:pPr>
              <w:rPr>
                <w:b/>
                <w:bCs/>
              </w:rPr>
            </w:pPr>
            <w:r w:rsidRPr="001E4BF0">
              <w:rPr>
                <w:b/>
                <w:bCs/>
              </w:rPr>
              <w:t>Insats</w:t>
            </w:r>
          </w:p>
        </w:tc>
        <w:tc>
          <w:tcPr>
            <w:tcW w:w="2242" w:type="dxa"/>
          </w:tcPr>
          <w:p w14:paraId="3845CDAA" w14:textId="77777777" w:rsidR="002F7BA8" w:rsidRPr="001E4BF0" w:rsidRDefault="002F7BA8" w:rsidP="00294640">
            <w:pPr>
              <w:rPr>
                <w:b/>
                <w:bCs/>
              </w:rPr>
            </w:pPr>
            <w:r w:rsidRPr="001E4BF0">
              <w:rPr>
                <w:b/>
                <w:bCs/>
              </w:rPr>
              <w:t>Belopp i miljoner kronor</w:t>
            </w:r>
          </w:p>
        </w:tc>
      </w:tr>
      <w:tr w:rsidR="002F7BA8" w14:paraId="4D711EF0" w14:textId="77777777" w:rsidTr="00294640">
        <w:tc>
          <w:tcPr>
            <w:tcW w:w="6062" w:type="dxa"/>
          </w:tcPr>
          <w:p w14:paraId="52551D95" w14:textId="5079ADBC" w:rsidR="002F7BA8" w:rsidRDefault="000700AE" w:rsidP="00294640">
            <w:r>
              <w:t>Personcentrerad vård</w:t>
            </w:r>
          </w:p>
        </w:tc>
        <w:tc>
          <w:tcPr>
            <w:tcW w:w="2242" w:type="dxa"/>
          </w:tcPr>
          <w:p w14:paraId="265CB3F9" w14:textId="77777777" w:rsidR="002F7BA8" w:rsidRDefault="002F7BA8" w:rsidP="00294640">
            <w:r>
              <w:t>1</w:t>
            </w:r>
          </w:p>
        </w:tc>
      </w:tr>
      <w:tr w:rsidR="002F7BA8" w14:paraId="5181D068" w14:textId="77777777" w:rsidTr="00294640">
        <w:tc>
          <w:tcPr>
            <w:tcW w:w="6062" w:type="dxa"/>
          </w:tcPr>
          <w:p w14:paraId="07BCC1F8" w14:textId="39092E99" w:rsidR="002F7BA8" w:rsidRDefault="000700AE" w:rsidP="00294640">
            <w:r>
              <w:t>Rutiner för fast vårdkontakt</w:t>
            </w:r>
          </w:p>
        </w:tc>
        <w:tc>
          <w:tcPr>
            <w:tcW w:w="2242" w:type="dxa"/>
          </w:tcPr>
          <w:p w14:paraId="6F6A0655" w14:textId="755C15AC" w:rsidR="002F7BA8" w:rsidRDefault="00ED1965" w:rsidP="00294640">
            <w:r>
              <w:t>0,8</w:t>
            </w:r>
          </w:p>
        </w:tc>
      </w:tr>
      <w:tr w:rsidR="002F7BA8" w14:paraId="03D51CDF" w14:textId="77777777" w:rsidTr="00294640">
        <w:tc>
          <w:tcPr>
            <w:tcW w:w="6062" w:type="dxa"/>
          </w:tcPr>
          <w:p w14:paraId="7C25046A" w14:textId="6972B70D" w:rsidR="002F7BA8" w:rsidRDefault="000700AE" w:rsidP="00294640">
            <w:r>
              <w:t>Fortsatt arbete breddinförande webbtidbok</w:t>
            </w:r>
          </w:p>
        </w:tc>
        <w:tc>
          <w:tcPr>
            <w:tcW w:w="2242" w:type="dxa"/>
          </w:tcPr>
          <w:p w14:paraId="33274028" w14:textId="2897BBC9" w:rsidR="002F7BA8" w:rsidRDefault="00351171" w:rsidP="00294640">
            <w:r>
              <w:t>1,5</w:t>
            </w:r>
          </w:p>
        </w:tc>
      </w:tr>
      <w:tr w:rsidR="002F7BA8" w14:paraId="3490B99F" w14:textId="77777777" w:rsidTr="00294640">
        <w:tc>
          <w:tcPr>
            <w:tcW w:w="6062" w:type="dxa"/>
          </w:tcPr>
          <w:p w14:paraId="21C13E6D" w14:textId="71E6E904" w:rsidR="002F7BA8" w:rsidRDefault="000700AE" w:rsidP="00294640">
            <w:r>
              <w:t>Förbättringsarbete samordning och samverkan</w:t>
            </w:r>
          </w:p>
        </w:tc>
        <w:tc>
          <w:tcPr>
            <w:tcW w:w="2242" w:type="dxa"/>
          </w:tcPr>
          <w:p w14:paraId="0D84A3E8" w14:textId="40DE71E7" w:rsidR="002F7BA8" w:rsidRDefault="00ED1965" w:rsidP="00294640">
            <w:r>
              <w:t>1</w:t>
            </w:r>
          </w:p>
        </w:tc>
      </w:tr>
      <w:tr w:rsidR="00351171" w14:paraId="45DBACAC" w14:textId="77777777" w:rsidTr="00294640">
        <w:tc>
          <w:tcPr>
            <w:tcW w:w="6062" w:type="dxa"/>
          </w:tcPr>
          <w:p w14:paraId="1F8FA064" w14:textId="4616FA51" w:rsidR="00351171" w:rsidRDefault="00351171" w:rsidP="00294640">
            <w:r>
              <w:t>Utveckling av patientkontrakt</w:t>
            </w:r>
          </w:p>
        </w:tc>
        <w:tc>
          <w:tcPr>
            <w:tcW w:w="2242" w:type="dxa"/>
          </w:tcPr>
          <w:p w14:paraId="6408EF92" w14:textId="702E1672" w:rsidR="00351171" w:rsidRDefault="00351171" w:rsidP="00294640">
            <w:r>
              <w:t>1,5</w:t>
            </w:r>
          </w:p>
        </w:tc>
      </w:tr>
      <w:tr w:rsidR="002F7BA8" w14:paraId="65A7A2CA" w14:textId="77777777" w:rsidTr="00294640">
        <w:tc>
          <w:tcPr>
            <w:tcW w:w="6062" w:type="dxa"/>
          </w:tcPr>
          <w:p w14:paraId="2F2DE766" w14:textId="77777777" w:rsidR="002F7BA8" w:rsidRDefault="002F7BA8" w:rsidP="00294640">
            <w:r w:rsidRPr="00F870D7">
              <w:rPr>
                <w:b/>
                <w:bCs/>
              </w:rPr>
              <w:t>Totalt</w:t>
            </w:r>
          </w:p>
        </w:tc>
        <w:tc>
          <w:tcPr>
            <w:tcW w:w="2242" w:type="dxa"/>
          </w:tcPr>
          <w:p w14:paraId="0F12F758" w14:textId="77777777" w:rsidR="002F7BA8" w:rsidRPr="002F7BA8" w:rsidRDefault="002F7BA8" w:rsidP="00294640">
            <w:pPr>
              <w:rPr>
                <w:b/>
                <w:bCs/>
              </w:rPr>
            </w:pPr>
            <w:r w:rsidRPr="002F7BA8">
              <w:rPr>
                <w:b/>
                <w:bCs/>
              </w:rPr>
              <w:t>5,8</w:t>
            </w:r>
          </w:p>
        </w:tc>
      </w:tr>
    </w:tbl>
    <w:p w14:paraId="6B1D0595" w14:textId="73C9AA08" w:rsidR="002F7BA8" w:rsidRDefault="002F7BA8" w:rsidP="002F7BA8"/>
    <w:p w14:paraId="4E0B683D" w14:textId="26584313" w:rsidR="00FF539D" w:rsidRDefault="00FF539D" w:rsidP="003A7ABA">
      <w:pPr>
        <w:shd w:val="clear" w:color="auto" w:fill="FFFFFF"/>
        <w:spacing w:line="330" w:lineRule="atLeast"/>
        <w:rPr>
          <w:rStyle w:val="Rubrik2Char"/>
          <w:rFonts w:asciiTheme="majorHAnsi" w:hAnsiTheme="majorHAnsi"/>
          <w:b/>
          <w:bCs w:val="0"/>
          <w:szCs w:val="28"/>
          <w:lang w:eastAsia="sv-SE"/>
        </w:rPr>
      </w:pPr>
      <w:r w:rsidRPr="003B3D5A">
        <w:rPr>
          <w:rStyle w:val="Rubrik2Char"/>
          <w:rFonts w:asciiTheme="majorHAnsi" w:hAnsiTheme="majorHAnsi"/>
          <w:b/>
          <w:bCs w:val="0"/>
          <w:szCs w:val="28"/>
          <w:lang w:eastAsia="sv-SE"/>
        </w:rPr>
        <w:t>Villkor att beakta gällande riktade statliga medel/nationell satsning</w:t>
      </w:r>
    </w:p>
    <w:p w14:paraId="3690CFE7" w14:textId="7A8F980F" w:rsidR="003B3D5A" w:rsidRDefault="003B3D5A" w:rsidP="003A7ABA">
      <w:pPr>
        <w:rPr>
          <w:b/>
          <w:bCs/>
          <w:lang w:eastAsia="sv-SE"/>
        </w:rPr>
      </w:pPr>
      <w:r>
        <w:rPr>
          <w:b/>
          <w:bCs/>
          <w:lang w:eastAsia="sv-SE"/>
        </w:rPr>
        <w:t>Enligt interna tillämpningsanvisningarna:</w:t>
      </w:r>
    </w:p>
    <w:p w14:paraId="2311F3CA" w14:textId="487B203E" w:rsidR="003A7ABA" w:rsidRPr="003A7ABA" w:rsidRDefault="003A7ABA" w:rsidP="003A7ABA">
      <w:pPr>
        <w:rPr>
          <w:b/>
          <w:bCs/>
          <w:lang w:eastAsia="sv-SE"/>
        </w:rPr>
      </w:pPr>
      <w:r w:rsidRPr="003A7ABA">
        <w:rPr>
          <w:b/>
          <w:bCs/>
          <w:lang w:eastAsia="sv-SE"/>
        </w:rPr>
        <w:t>För regiondriven verksamhet gäller följande:</w:t>
      </w:r>
    </w:p>
    <w:p w14:paraId="7AD7E508" w14:textId="77777777" w:rsidR="00FF539D" w:rsidRDefault="00FF539D" w:rsidP="00FF539D">
      <w:pPr>
        <w:pStyle w:val="Liststycke"/>
        <w:numPr>
          <w:ilvl w:val="0"/>
          <w:numId w:val="12"/>
        </w:numPr>
        <w:shd w:val="clear" w:color="auto" w:fill="FFFFFF"/>
        <w:rPr>
          <w:rFonts w:asciiTheme="majorHAnsi" w:eastAsia="Times New Roman" w:hAnsiTheme="majorHAnsi" w:cs="Calibri"/>
          <w:color w:val="201F1E"/>
          <w:szCs w:val="20"/>
          <w:lang w:eastAsia="sv-SE"/>
        </w:rPr>
      </w:pPr>
      <w:r w:rsidRPr="00FF539D">
        <w:rPr>
          <w:rFonts w:asciiTheme="majorHAnsi" w:eastAsia="Times New Roman" w:hAnsiTheme="majorHAnsi" w:cs="Calibri"/>
          <w:color w:val="201F1E"/>
          <w:szCs w:val="20"/>
          <w:lang w:eastAsia="sv-SE"/>
        </w:rPr>
        <w:t>Nya anställningar ska undvikas</w:t>
      </w:r>
    </w:p>
    <w:p w14:paraId="237ADEE9" w14:textId="76461D1D" w:rsidR="00FF539D" w:rsidRPr="00FF539D" w:rsidRDefault="00FF539D" w:rsidP="00FF539D">
      <w:pPr>
        <w:pStyle w:val="Liststycke"/>
        <w:numPr>
          <w:ilvl w:val="0"/>
          <w:numId w:val="12"/>
        </w:numPr>
        <w:shd w:val="clear" w:color="auto" w:fill="FFFFFF"/>
        <w:rPr>
          <w:rFonts w:asciiTheme="majorHAnsi" w:eastAsia="Times New Roman" w:hAnsiTheme="majorHAnsi" w:cs="Calibri"/>
          <w:color w:val="201F1E"/>
          <w:szCs w:val="20"/>
          <w:lang w:eastAsia="sv-SE"/>
        </w:rPr>
      </w:pPr>
      <w:r w:rsidRPr="00FF539D">
        <w:rPr>
          <w:rFonts w:asciiTheme="majorHAnsi" w:hAnsiTheme="majorHAnsi"/>
          <w:szCs w:val="20"/>
          <w:lang w:eastAsia="sv-SE"/>
        </w:rPr>
        <w:t>Målsättningen bör vara att nyttja befintliga resurser för att uppnå/svara mot det krav som ställs utifrån uppdraget</w:t>
      </w:r>
    </w:p>
    <w:p w14:paraId="3BC652A8" w14:textId="77777777" w:rsidR="00FF539D" w:rsidRPr="00FF539D" w:rsidRDefault="00FF539D" w:rsidP="00FF539D">
      <w:pPr>
        <w:pStyle w:val="Liststycke"/>
        <w:numPr>
          <w:ilvl w:val="0"/>
          <w:numId w:val="9"/>
        </w:numPr>
        <w:ind w:left="714" w:hanging="357"/>
        <w:rPr>
          <w:rFonts w:asciiTheme="majorHAnsi" w:hAnsiTheme="majorHAnsi"/>
          <w:szCs w:val="20"/>
          <w:lang w:eastAsia="sv-SE"/>
        </w:rPr>
      </w:pPr>
      <w:r w:rsidRPr="00FF539D">
        <w:rPr>
          <w:rFonts w:asciiTheme="majorHAnsi" w:hAnsiTheme="majorHAnsi"/>
          <w:szCs w:val="20"/>
          <w:lang w:eastAsia="sv-SE"/>
        </w:rPr>
        <w:t>Ev intern fördelning av uppdrag ska diarieföras i aktuellt ärende.</w:t>
      </w:r>
    </w:p>
    <w:p w14:paraId="425DD1D8" w14:textId="77777777" w:rsidR="00FF539D" w:rsidRPr="00FF539D" w:rsidRDefault="00FF539D" w:rsidP="00FF539D">
      <w:pPr>
        <w:pStyle w:val="Liststycke"/>
        <w:numPr>
          <w:ilvl w:val="0"/>
          <w:numId w:val="9"/>
        </w:numPr>
        <w:ind w:left="714" w:hanging="357"/>
        <w:rPr>
          <w:rFonts w:asciiTheme="majorHAnsi" w:hAnsiTheme="majorHAnsi"/>
          <w:color w:val="000000"/>
          <w:szCs w:val="20"/>
          <w:lang w:eastAsia="sv-SE"/>
        </w:rPr>
      </w:pPr>
      <w:r w:rsidRPr="00FF539D">
        <w:rPr>
          <w:rFonts w:asciiTheme="majorHAnsi" w:hAnsiTheme="majorHAnsi"/>
          <w:color w:val="000000"/>
          <w:szCs w:val="20"/>
          <w:shd w:val="clear" w:color="auto" w:fill="FFFFFF"/>
          <w:lang w:eastAsia="sv-SE"/>
        </w:rPr>
        <w:t>Verksamhet som får uppdrag enligt riktade statliga medel/nationell överenskommelse ansvarar för genomförandet i sin helhet samt uppföljning internt inom regionen samt till den myndighet som givit uppdraget.</w:t>
      </w:r>
    </w:p>
    <w:p w14:paraId="24482B01" w14:textId="77777777" w:rsidR="00FF539D" w:rsidRPr="00FF539D" w:rsidRDefault="00FF539D" w:rsidP="00FF539D">
      <w:pPr>
        <w:pStyle w:val="Liststycke"/>
        <w:numPr>
          <w:ilvl w:val="0"/>
          <w:numId w:val="9"/>
        </w:numPr>
        <w:ind w:left="714" w:hanging="357"/>
        <w:rPr>
          <w:rFonts w:asciiTheme="majorHAnsi" w:hAnsiTheme="majorHAnsi"/>
          <w:szCs w:val="20"/>
          <w:lang w:eastAsia="sv-SE"/>
        </w:rPr>
      </w:pPr>
      <w:r w:rsidRPr="00FF539D">
        <w:rPr>
          <w:rFonts w:asciiTheme="majorHAnsi" w:hAnsiTheme="majorHAnsi"/>
          <w:szCs w:val="20"/>
          <w:lang w:eastAsia="sv-SE"/>
        </w:rPr>
        <w:t>Om en aktivitet i uppdraget innefattar en investeringskostnad så kan bara innevarande års avskrivning konteras på objektet.</w:t>
      </w:r>
    </w:p>
    <w:p w14:paraId="7FA68F8A" w14:textId="3EEBEE06" w:rsidR="00FF539D" w:rsidRPr="00DD64E9" w:rsidRDefault="00FF539D" w:rsidP="00FF539D">
      <w:pPr>
        <w:pStyle w:val="Liststycke"/>
        <w:numPr>
          <w:ilvl w:val="0"/>
          <w:numId w:val="9"/>
        </w:numPr>
        <w:ind w:left="714" w:hanging="357"/>
        <w:rPr>
          <w:rFonts w:asciiTheme="majorHAnsi" w:hAnsiTheme="majorHAnsi"/>
          <w:color w:val="000000"/>
          <w:szCs w:val="20"/>
          <w:lang w:eastAsia="sv-SE"/>
        </w:rPr>
      </w:pPr>
      <w:r w:rsidRPr="00FF539D">
        <w:rPr>
          <w:rFonts w:asciiTheme="majorHAnsi" w:hAnsiTheme="majorHAnsi"/>
          <w:color w:val="000000"/>
          <w:szCs w:val="20"/>
          <w:shd w:val="clear" w:color="auto" w:fill="FFFFFF"/>
          <w:lang w:eastAsia="sv-SE"/>
        </w:rPr>
        <w:t>Inga medel delas ut i redovisningen. Ansvariga verksamheter uppdras kommentera utfall mot budget och där påvisa att man fått beslut på att få ha ett sämre utfall mot budget med motsvarande beslutet. Kostnader ska konteras mot objektet, i det här fallet </w:t>
      </w:r>
      <w:r w:rsidR="003A7ABA" w:rsidRPr="003A7ABA">
        <w:rPr>
          <w:rFonts w:asciiTheme="majorHAnsi" w:hAnsiTheme="majorHAnsi"/>
          <w:szCs w:val="20"/>
          <w:shd w:val="clear" w:color="auto" w:fill="FFFFFF"/>
          <w:lang w:eastAsia="sv-SE"/>
        </w:rPr>
        <w:t>9916</w:t>
      </w:r>
      <w:r w:rsidRPr="00FF539D">
        <w:rPr>
          <w:rFonts w:asciiTheme="majorHAnsi" w:hAnsiTheme="majorHAnsi"/>
          <w:color w:val="FF0000"/>
          <w:szCs w:val="20"/>
          <w:shd w:val="clear" w:color="auto" w:fill="FFFFFF"/>
          <w:lang w:eastAsia="sv-SE"/>
        </w:rPr>
        <w:t>.</w:t>
      </w:r>
      <w:r w:rsidR="003B3D5A">
        <w:rPr>
          <w:rFonts w:asciiTheme="majorHAnsi" w:hAnsiTheme="majorHAnsi"/>
          <w:color w:val="FF0000"/>
          <w:szCs w:val="20"/>
          <w:shd w:val="clear" w:color="auto" w:fill="FFFFFF"/>
          <w:lang w:eastAsia="sv-SE"/>
        </w:rPr>
        <w:t xml:space="preserve"> </w:t>
      </w:r>
      <w:r w:rsidR="003B3D5A" w:rsidRPr="003B3D5A">
        <w:rPr>
          <w:rFonts w:asciiTheme="majorHAnsi" w:hAnsiTheme="majorHAnsi"/>
          <w:szCs w:val="20"/>
          <w:shd w:val="clear" w:color="auto" w:fill="FFFFFF"/>
          <w:lang w:eastAsia="sv-SE"/>
        </w:rPr>
        <w:t>Hanteringen måste utredas vidare för jämställda villkor mellan regiondriven verksamhet och externa.</w:t>
      </w:r>
    </w:p>
    <w:p w14:paraId="77344BDB" w14:textId="77777777" w:rsidR="00DD64E9" w:rsidRPr="00CA40C5" w:rsidRDefault="00DD64E9" w:rsidP="00DD64E9">
      <w:pPr>
        <w:pStyle w:val="Liststycke"/>
        <w:ind w:left="714"/>
        <w:rPr>
          <w:rFonts w:asciiTheme="majorHAnsi" w:hAnsiTheme="majorHAnsi"/>
          <w:color w:val="000000"/>
          <w:szCs w:val="20"/>
          <w:lang w:eastAsia="sv-SE"/>
        </w:rPr>
      </w:pPr>
    </w:p>
    <w:p w14:paraId="62973D58" w14:textId="5C0312BE" w:rsidR="00CA40C5" w:rsidRDefault="00CA40C5" w:rsidP="00CA40C5">
      <w:pPr>
        <w:rPr>
          <w:rFonts w:asciiTheme="majorHAnsi" w:hAnsiTheme="majorHAnsi"/>
          <w:b/>
          <w:bCs/>
          <w:color w:val="000000"/>
          <w:szCs w:val="20"/>
          <w:lang w:eastAsia="sv-SE"/>
        </w:rPr>
      </w:pPr>
      <w:r w:rsidRPr="00CA40C5">
        <w:rPr>
          <w:rFonts w:asciiTheme="majorHAnsi" w:hAnsiTheme="majorHAnsi"/>
          <w:b/>
          <w:bCs/>
          <w:color w:val="000000"/>
          <w:szCs w:val="20"/>
          <w:lang w:eastAsia="sv-SE"/>
        </w:rPr>
        <w:t>För externa vårdgivare med offentlig finansiering gäller:</w:t>
      </w:r>
    </w:p>
    <w:p w14:paraId="7CF2FD87" w14:textId="5443F3A5" w:rsidR="00CA40C5" w:rsidRPr="00CA40C5" w:rsidRDefault="00CA40C5" w:rsidP="00CA40C5">
      <w:pPr>
        <w:pStyle w:val="Liststycke"/>
        <w:numPr>
          <w:ilvl w:val="0"/>
          <w:numId w:val="13"/>
        </w:numPr>
        <w:rPr>
          <w:rFonts w:asciiTheme="majorHAnsi" w:hAnsiTheme="majorHAnsi"/>
          <w:color w:val="000000"/>
          <w:szCs w:val="20"/>
          <w:lang w:eastAsia="sv-SE"/>
        </w:rPr>
      </w:pPr>
      <w:r>
        <w:rPr>
          <w:rFonts w:asciiTheme="majorHAnsi" w:hAnsiTheme="majorHAnsi"/>
          <w:color w:val="000000"/>
          <w:szCs w:val="20"/>
          <w:lang w:eastAsia="sv-SE"/>
        </w:rPr>
        <w:t xml:space="preserve">Utifrån beslutade områden </w:t>
      </w:r>
      <w:r w:rsidR="00DD64E9">
        <w:rPr>
          <w:rFonts w:asciiTheme="majorHAnsi" w:hAnsiTheme="majorHAnsi"/>
          <w:color w:val="000000"/>
          <w:szCs w:val="20"/>
          <w:lang w:eastAsia="sv-SE"/>
        </w:rPr>
        <w:t>ut</w:t>
      </w:r>
      <w:r w:rsidRPr="00CA40C5">
        <w:rPr>
          <w:rFonts w:asciiTheme="majorHAnsi" w:hAnsiTheme="majorHAnsi"/>
          <w:color w:val="000000"/>
          <w:szCs w:val="20"/>
          <w:lang w:eastAsia="sv-SE"/>
        </w:rPr>
        <w:t xml:space="preserve">betalas </w:t>
      </w:r>
      <w:r>
        <w:rPr>
          <w:rFonts w:asciiTheme="majorHAnsi" w:hAnsiTheme="majorHAnsi"/>
          <w:color w:val="000000"/>
          <w:szCs w:val="20"/>
          <w:lang w:eastAsia="sv-SE"/>
        </w:rPr>
        <w:t>medel</w:t>
      </w:r>
      <w:r w:rsidRPr="00CA40C5">
        <w:rPr>
          <w:rFonts w:asciiTheme="majorHAnsi" w:hAnsiTheme="majorHAnsi"/>
          <w:color w:val="000000"/>
          <w:szCs w:val="20"/>
          <w:lang w:eastAsia="sv-SE"/>
        </w:rPr>
        <w:t xml:space="preserve"> </w:t>
      </w:r>
      <w:r w:rsidR="00DD64E9">
        <w:rPr>
          <w:rFonts w:asciiTheme="majorHAnsi" w:hAnsiTheme="majorHAnsi"/>
          <w:color w:val="000000"/>
          <w:szCs w:val="20"/>
          <w:lang w:eastAsia="sv-SE"/>
        </w:rPr>
        <w:t xml:space="preserve">kvartalsvis </w:t>
      </w:r>
      <w:r w:rsidRPr="00CA40C5">
        <w:rPr>
          <w:rFonts w:asciiTheme="majorHAnsi" w:hAnsiTheme="majorHAnsi"/>
          <w:color w:val="000000"/>
          <w:szCs w:val="20"/>
          <w:lang w:eastAsia="sv-SE"/>
        </w:rPr>
        <w:t>efter äskandeförf</w:t>
      </w:r>
      <w:r>
        <w:rPr>
          <w:rFonts w:asciiTheme="majorHAnsi" w:hAnsiTheme="majorHAnsi"/>
          <w:color w:val="000000"/>
          <w:szCs w:val="20"/>
          <w:lang w:eastAsia="sv-SE"/>
        </w:rPr>
        <w:t>a</w:t>
      </w:r>
      <w:r w:rsidRPr="00CA40C5">
        <w:rPr>
          <w:rFonts w:asciiTheme="majorHAnsi" w:hAnsiTheme="majorHAnsi"/>
          <w:color w:val="000000"/>
          <w:szCs w:val="20"/>
          <w:lang w:eastAsia="sv-SE"/>
        </w:rPr>
        <w:t>rande</w:t>
      </w:r>
      <w:r w:rsidR="00DD64E9">
        <w:rPr>
          <w:rFonts w:asciiTheme="majorHAnsi" w:hAnsiTheme="majorHAnsi"/>
          <w:color w:val="000000"/>
          <w:szCs w:val="20"/>
          <w:lang w:eastAsia="sv-SE"/>
        </w:rPr>
        <w:t>.</w:t>
      </w:r>
    </w:p>
    <w:p w14:paraId="3EDEE8CC" w14:textId="77777777" w:rsidR="00FF539D" w:rsidRPr="00FF539D" w:rsidRDefault="00FF539D" w:rsidP="00FF539D">
      <w:pPr>
        <w:rPr>
          <w:rFonts w:asciiTheme="majorHAnsi" w:hAnsiTheme="majorHAnsi"/>
          <w:sz w:val="28"/>
          <w:szCs w:val="28"/>
        </w:rPr>
      </w:pPr>
    </w:p>
    <w:p w14:paraId="3708CC58" w14:textId="39F16E8B" w:rsidR="00916330" w:rsidRPr="00FF539D" w:rsidRDefault="00916330" w:rsidP="00FF539D">
      <w:pPr>
        <w:rPr>
          <w:rFonts w:asciiTheme="majorHAnsi" w:hAnsiTheme="majorHAnsi"/>
          <w:sz w:val="28"/>
          <w:szCs w:val="28"/>
        </w:rPr>
      </w:pPr>
    </w:p>
    <w:sectPr w:rsidR="00916330" w:rsidRPr="00FF539D" w:rsidSect="00E60434">
      <w:footerReference w:type="default" r:id="rId14"/>
      <w:type w:val="continuous"/>
      <w:pgSz w:w="11906" w:h="16838"/>
      <w:pgMar w:top="1985" w:right="1871" w:bottom="1701" w:left="187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EB04F" w14:textId="77777777" w:rsidR="00192EB9" w:rsidRDefault="00192EB9" w:rsidP="00093707">
      <w:r>
        <w:separator/>
      </w:r>
    </w:p>
  </w:endnote>
  <w:endnote w:type="continuationSeparator" w:id="0">
    <w:p w14:paraId="3575EA69" w14:textId="77777777" w:rsidR="00192EB9" w:rsidRDefault="00192EB9" w:rsidP="0009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3AE3" w14:textId="77777777" w:rsidR="00F870D7" w:rsidRDefault="00F870D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743" w:type="dxa"/>
      <w:tblLook w:val="04A0" w:firstRow="1" w:lastRow="0" w:firstColumn="1" w:lastColumn="0" w:noHBand="0" w:noVBand="1"/>
    </w:tblPr>
    <w:tblGrid>
      <w:gridCol w:w="9640"/>
    </w:tblGrid>
    <w:tr w:rsidR="00D612B6" w14:paraId="6EB7AE9D" w14:textId="77777777" w:rsidTr="002B0A12">
      <w:tc>
        <w:tcPr>
          <w:tcW w:w="9640" w:type="dxa"/>
          <w:tcBorders>
            <w:top w:val="nil"/>
            <w:left w:val="nil"/>
            <w:bottom w:val="nil"/>
            <w:right w:val="nil"/>
          </w:tcBorders>
        </w:tcPr>
        <w:p w14:paraId="75418C7E" w14:textId="77777777" w:rsidR="00D612B6" w:rsidRPr="0075571B" w:rsidRDefault="00D612B6" w:rsidP="0075571B">
          <w:pPr>
            <w:spacing w:line="220" w:lineRule="exact"/>
            <w:rPr>
              <w:rFonts w:ascii="Tahoma" w:hAnsi="Tahoma" w:cs="Tahoma"/>
              <w:sz w:val="16"/>
              <w:szCs w:val="16"/>
            </w:rPr>
          </w:pPr>
        </w:p>
      </w:tc>
    </w:tr>
  </w:tbl>
  <w:p w14:paraId="17B2AC28" w14:textId="77777777" w:rsidR="00D612B6" w:rsidRPr="00E11ADB" w:rsidRDefault="00D612B6" w:rsidP="00E11ADB">
    <w:pPr>
      <w:jc w:val="center"/>
      <w:rPr>
        <w:rFonts w:ascii="Tahoma" w:hAnsi="Tahoma"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5A7B" w14:textId="77777777" w:rsidR="00F870D7" w:rsidRDefault="00F870D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743" w:type="dxa"/>
      <w:tblLook w:val="04A0" w:firstRow="1" w:lastRow="0" w:firstColumn="1" w:lastColumn="0" w:noHBand="0" w:noVBand="1"/>
    </w:tblPr>
    <w:tblGrid>
      <w:gridCol w:w="9640"/>
    </w:tblGrid>
    <w:tr w:rsidR="00D612B6" w14:paraId="44189174" w14:textId="77777777" w:rsidTr="002B0A12">
      <w:tc>
        <w:tcPr>
          <w:tcW w:w="9640" w:type="dxa"/>
          <w:tcBorders>
            <w:top w:val="nil"/>
            <w:left w:val="nil"/>
            <w:bottom w:val="nil"/>
            <w:right w:val="nil"/>
          </w:tcBorders>
        </w:tcPr>
        <w:p w14:paraId="11B0BB92" w14:textId="77777777" w:rsidR="00D612B6" w:rsidRPr="005E03DA" w:rsidRDefault="00D612B6" w:rsidP="005E03DA">
          <w:pPr>
            <w:rPr>
              <w:rFonts w:ascii="Tahoma" w:hAnsi="Tahoma"/>
              <w:sz w:val="16"/>
              <w:szCs w:val="16"/>
            </w:rPr>
          </w:pPr>
        </w:p>
      </w:tc>
    </w:tr>
  </w:tbl>
  <w:p w14:paraId="7D90D891" w14:textId="77777777" w:rsidR="00D612B6" w:rsidRPr="00E11ADB" w:rsidRDefault="00D612B6" w:rsidP="00E11ADB">
    <w:pPr>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735B1" w14:textId="77777777" w:rsidR="00192EB9" w:rsidRDefault="00192EB9" w:rsidP="00093707">
      <w:r>
        <w:separator/>
      </w:r>
    </w:p>
  </w:footnote>
  <w:footnote w:type="continuationSeparator" w:id="0">
    <w:p w14:paraId="0B7E6A2F" w14:textId="77777777" w:rsidR="00192EB9" w:rsidRDefault="00192EB9" w:rsidP="00093707">
      <w:r>
        <w:continuationSeparator/>
      </w:r>
    </w:p>
  </w:footnote>
  <w:footnote w:id="1">
    <w:p w14:paraId="7E5B7E3A" w14:textId="77777777" w:rsidR="00371DD7" w:rsidRPr="00371DD7" w:rsidRDefault="00371DD7" w:rsidP="00371DD7">
      <w:pPr>
        <w:pStyle w:val="Fotnotstext"/>
        <w:rPr>
          <w:sz w:val="12"/>
          <w:szCs w:val="12"/>
        </w:rPr>
      </w:pPr>
      <w:r w:rsidRPr="00371DD7">
        <w:rPr>
          <w:rStyle w:val="Fotnotsreferens"/>
          <w:sz w:val="12"/>
          <w:szCs w:val="12"/>
        </w:rPr>
        <w:footnoteRef/>
      </w:r>
      <w:r w:rsidRPr="00371DD7">
        <w:rPr>
          <w:sz w:val="12"/>
          <w:szCs w:val="12"/>
        </w:rPr>
        <w:t xml:space="preserve"> Med landsting avses även regioner. Landsting används inom överenskommelsen eftersom begreppet fortfarande används i lagstiftningen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B658" w14:textId="77777777" w:rsidR="00F870D7" w:rsidRDefault="00F870D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1026" w:type="dxa"/>
      <w:tblLook w:val="04A0" w:firstRow="1" w:lastRow="0" w:firstColumn="1" w:lastColumn="0" w:noHBand="0" w:noVBand="1"/>
    </w:tblPr>
    <w:tblGrid>
      <w:gridCol w:w="4077"/>
      <w:gridCol w:w="2410"/>
      <w:gridCol w:w="3861"/>
    </w:tblGrid>
    <w:tr w:rsidR="00D612B6" w:rsidRPr="00AA4426" w14:paraId="27A7FA53" w14:textId="77777777" w:rsidTr="00BC4FCE">
      <w:trPr>
        <w:trHeight w:val="482"/>
      </w:trPr>
      <w:tc>
        <w:tcPr>
          <w:tcW w:w="4077" w:type="dxa"/>
          <w:vMerge w:val="restart"/>
        </w:tcPr>
        <w:p w14:paraId="1940273E" w14:textId="21E881AF" w:rsidR="00D612B6" w:rsidRPr="00110C05" w:rsidRDefault="00D612B6" w:rsidP="005814E2">
          <w:pPr>
            <w:tabs>
              <w:tab w:val="left" w:pos="1095"/>
            </w:tabs>
            <w:rPr>
              <w:rFonts w:ascii="Tahoma" w:hAnsi="Tahoma"/>
            </w:rPr>
          </w:pPr>
        </w:p>
      </w:tc>
      <w:tc>
        <w:tcPr>
          <w:tcW w:w="2410" w:type="dxa"/>
        </w:tcPr>
        <w:p w14:paraId="4D2E3BE1" w14:textId="77777777" w:rsidR="00D612B6" w:rsidRPr="00334C4E" w:rsidRDefault="00D612B6">
          <w:pPr>
            <w:rPr>
              <w:rFonts w:ascii="Tahoma" w:hAnsi="Tahoma"/>
              <w:b/>
            </w:rPr>
          </w:pPr>
        </w:p>
      </w:tc>
      <w:tc>
        <w:tcPr>
          <w:tcW w:w="3861" w:type="dxa"/>
        </w:tcPr>
        <w:sdt>
          <w:sdtPr>
            <w:rPr>
              <w:rFonts w:cs="Arial"/>
              <w:sz w:val="13"/>
              <w:szCs w:val="13"/>
            </w:rPr>
            <w:id w:val="23994751"/>
            <w:docPartObj>
              <w:docPartGallery w:val="Page Numbers (Top of Page)"/>
              <w:docPartUnique/>
            </w:docPartObj>
          </w:sdtPr>
          <w:sdtEndPr/>
          <w:sdtContent>
            <w:p w14:paraId="01BC1616" w14:textId="77777777" w:rsidR="00D612B6" w:rsidRPr="00C1085C" w:rsidRDefault="00F805C1" w:rsidP="00F63C3C">
              <w:pPr>
                <w:jc w:val="right"/>
                <w:rPr>
                  <w:rFonts w:cs="Arial"/>
                  <w:sz w:val="13"/>
                  <w:szCs w:val="13"/>
                </w:rPr>
              </w:pPr>
              <w:r w:rsidRPr="005814E2">
                <w:rPr>
                  <w:rFonts w:cs="Arial"/>
                  <w:sz w:val="13"/>
                  <w:szCs w:val="13"/>
                </w:rPr>
                <w:fldChar w:fldCharType="begin"/>
              </w:r>
              <w:r w:rsidR="00D612B6" w:rsidRPr="005814E2">
                <w:rPr>
                  <w:rFonts w:cs="Arial"/>
                  <w:sz w:val="13"/>
                  <w:szCs w:val="13"/>
                </w:rPr>
                <w:instrText xml:space="preserve"> PAGE </w:instrText>
              </w:r>
              <w:r w:rsidRPr="005814E2">
                <w:rPr>
                  <w:rFonts w:cs="Arial"/>
                  <w:sz w:val="13"/>
                  <w:szCs w:val="13"/>
                </w:rPr>
                <w:fldChar w:fldCharType="separate"/>
              </w:r>
              <w:r w:rsidR="00916330">
                <w:rPr>
                  <w:rFonts w:cs="Arial"/>
                  <w:noProof/>
                  <w:sz w:val="13"/>
                  <w:szCs w:val="13"/>
                </w:rPr>
                <w:t>1</w:t>
              </w:r>
              <w:r w:rsidRPr="005814E2">
                <w:rPr>
                  <w:rFonts w:cs="Arial"/>
                  <w:sz w:val="13"/>
                  <w:szCs w:val="13"/>
                </w:rPr>
                <w:fldChar w:fldCharType="end"/>
              </w:r>
              <w:r w:rsidR="00D612B6" w:rsidRPr="005814E2">
                <w:rPr>
                  <w:rFonts w:cs="Arial"/>
                  <w:sz w:val="13"/>
                  <w:szCs w:val="13"/>
                </w:rPr>
                <w:t>(</w:t>
              </w:r>
              <w:r w:rsidRPr="005814E2">
                <w:rPr>
                  <w:rFonts w:cs="Arial"/>
                  <w:sz w:val="13"/>
                  <w:szCs w:val="13"/>
                </w:rPr>
                <w:fldChar w:fldCharType="begin"/>
              </w:r>
              <w:r w:rsidR="00D612B6" w:rsidRPr="005814E2">
                <w:rPr>
                  <w:rFonts w:cs="Arial"/>
                  <w:sz w:val="13"/>
                  <w:szCs w:val="13"/>
                </w:rPr>
                <w:instrText xml:space="preserve"> NUMPAGES  </w:instrText>
              </w:r>
              <w:r w:rsidRPr="005814E2">
                <w:rPr>
                  <w:rFonts w:cs="Arial"/>
                  <w:sz w:val="13"/>
                  <w:szCs w:val="13"/>
                </w:rPr>
                <w:fldChar w:fldCharType="separate"/>
              </w:r>
              <w:r w:rsidR="00916330">
                <w:rPr>
                  <w:rFonts w:cs="Arial"/>
                  <w:noProof/>
                  <w:sz w:val="13"/>
                  <w:szCs w:val="13"/>
                </w:rPr>
                <w:t>1</w:t>
              </w:r>
              <w:r w:rsidRPr="005814E2">
                <w:rPr>
                  <w:rFonts w:cs="Arial"/>
                  <w:sz w:val="13"/>
                  <w:szCs w:val="13"/>
                </w:rPr>
                <w:fldChar w:fldCharType="end"/>
              </w:r>
              <w:r w:rsidR="00D612B6" w:rsidRPr="005814E2">
                <w:rPr>
                  <w:rFonts w:cs="Arial"/>
                  <w:sz w:val="13"/>
                  <w:szCs w:val="13"/>
                </w:rPr>
                <w:t>)</w:t>
              </w:r>
            </w:p>
          </w:sdtContent>
        </w:sdt>
      </w:tc>
    </w:tr>
    <w:tr w:rsidR="00D612B6" w:rsidRPr="00AA4426" w14:paraId="6A88EC57" w14:textId="77777777" w:rsidTr="00BC4FCE">
      <w:trPr>
        <w:trHeight w:val="587"/>
      </w:trPr>
      <w:tc>
        <w:tcPr>
          <w:tcW w:w="4077" w:type="dxa"/>
          <w:vMerge/>
        </w:tcPr>
        <w:p w14:paraId="723AFBB2" w14:textId="77777777" w:rsidR="00D612B6" w:rsidRPr="00AA4426" w:rsidRDefault="00D612B6">
          <w:pPr>
            <w:rPr>
              <w:rFonts w:ascii="Tahoma" w:hAnsi="Tahoma"/>
            </w:rPr>
          </w:pPr>
        </w:p>
      </w:tc>
      <w:tc>
        <w:tcPr>
          <w:tcW w:w="2410" w:type="dxa"/>
        </w:tcPr>
        <w:p w14:paraId="5BD6DFB0" w14:textId="77777777" w:rsidR="00D612B6" w:rsidRPr="00AA4426" w:rsidRDefault="00D612B6">
          <w:pPr>
            <w:rPr>
              <w:rFonts w:ascii="Tahoma" w:hAnsi="Tahoma"/>
              <w:vanish/>
              <w:color w:val="FF0000"/>
            </w:rPr>
          </w:pPr>
        </w:p>
      </w:tc>
      <w:tc>
        <w:tcPr>
          <w:tcW w:w="3861" w:type="dxa"/>
        </w:tcPr>
        <w:p w14:paraId="5D503EE0" w14:textId="77777777" w:rsidR="00D612B6" w:rsidRPr="00AA4426" w:rsidRDefault="00D612B6" w:rsidP="00BC4FCE">
          <w:pPr>
            <w:jc w:val="right"/>
            <w:rPr>
              <w:rFonts w:ascii="Tahoma" w:hAnsi="Tahoma"/>
            </w:rPr>
          </w:pPr>
        </w:p>
      </w:tc>
    </w:tr>
  </w:tbl>
  <w:p w14:paraId="21DFC510" w14:textId="77777777" w:rsidR="00D612B6" w:rsidRPr="00FA1361" w:rsidRDefault="003560B6" w:rsidP="0031755D">
    <w:pPr>
      <w:rPr>
        <w:rFonts w:ascii="Tahoma" w:hAnsi="Tahoma" w:cs="Tahoma"/>
        <w:sz w:val="18"/>
        <w:szCs w:val="18"/>
      </w:rPr>
    </w:pPr>
    <w:bookmarkStart w:id="7" w:name="instanceName"/>
    <w:bookmarkEnd w:id="7"/>
    <w:r>
      <w:rPr>
        <w:noProof/>
        <w:lang w:eastAsia="sv-SE"/>
      </w:rPr>
      <w:drawing>
        <wp:anchor distT="0" distB="0" distL="114300" distR="114300" simplePos="0" relativeHeight="251657216" behindDoc="0" locked="0" layoutInCell="1" allowOverlap="1" wp14:anchorId="78A123F7" wp14:editId="05C1F8DD">
          <wp:simplePos x="0" y="0"/>
          <wp:positionH relativeFrom="page">
            <wp:posOffset>480695</wp:posOffset>
          </wp:positionH>
          <wp:positionV relativeFrom="page">
            <wp:posOffset>308610</wp:posOffset>
          </wp:positionV>
          <wp:extent cx="1752600" cy="67310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5A5AC" w14:textId="77777777" w:rsidR="00F870D7" w:rsidRDefault="00F870D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1"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2" w15:restartNumberingAfterBreak="0">
    <w:nsid w:val="0D9A7FC7"/>
    <w:multiLevelType w:val="hybridMultilevel"/>
    <w:tmpl w:val="78DC31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F52762"/>
    <w:multiLevelType w:val="hybridMultilevel"/>
    <w:tmpl w:val="0F3A8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AA0101"/>
    <w:multiLevelType w:val="hybridMultilevel"/>
    <w:tmpl w:val="7E089E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E80EEE"/>
    <w:multiLevelType w:val="hybridMultilevel"/>
    <w:tmpl w:val="E8268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446352"/>
    <w:multiLevelType w:val="hybridMultilevel"/>
    <w:tmpl w:val="3098C0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E7A73CF"/>
    <w:multiLevelType w:val="hybridMultilevel"/>
    <w:tmpl w:val="5316F3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9707387"/>
    <w:multiLevelType w:val="hybridMultilevel"/>
    <w:tmpl w:val="A32C7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5A67DE"/>
    <w:multiLevelType w:val="multilevel"/>
    <w:tmpl w:val="F6F2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EE58BB"/>
    <w:multiLevelType w:val="hybridMultilevel"/>
    <w:tmpl w:val="9C1079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6"/>
  </w:num>
  <w:num w:numId="6">
    <w:abstractNumId w:val="10"/>
  </w:num>
  <w:num w:numId="7">
    <w:abstractNumId w:val="5"/>
  </w:num>
  <w:num w:numId="8">
    <w:abstractNumId w:val="9"/>
  </w:num>
  <w:num w:numId="9">
    <w:abstractNumId w:val="7"/>
  </w:num>
  <w:num w:numId="10">
    <w:abstractNumId w:val="4"/>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ocumentProtection w:edit="readOnly" w:formatting="1" w:enforcement="1"/>
  <w:defaultTabStop w:val="1304"/>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66"/>
    <w:rsid w:val="000055DE"/>
    <w:rsid w:val="00020983"/>
    <w:rsid w:val="000221E0"/>
    <w:rsid w:val="00040550"/>
    <w:rsid w:val="00045F8A"/>
    <w:rsid w:val="00047706"/>
    <w:rsid w:val="00051DD7"/>
    <w:rsid w:val="00063EF2"/>
    <w:rsid w:val="000700AE"/>
    <w:rsid w:val="0008113F"/>
    <w:rsid w:val="0008611C"/>
    <w:rsid w:val="00093707"/>
    <w:rsid w:val="00093EFD"/>
    <w:rsid w:val="00094F3D"/>
    <w:rsid w:val="000962DD"/>
    <w:rsid w:val="000A235E"/>
    <w:rsid w:val="000B19F4"/>
    <w:rsid w:val="000F1AFC"/>
    <w:rsid w:val="000F5172"/>
    <w:rsid w:val="0010560C"/>
    <w:rsid w:val="00110C05"/>
    <w:rsid w:val="001153D8"/>
    <w:rsid w:val="00127D3A"/>
    <w:rsid w:val="0015249B"/>
    <w:rsid w:val="00165828"/>
    <w:rsid w:val="00180D3C"/>
    <w:rsid w:val="0018439F"/>
    <w:rsid w:val="0019247E"/>
    <w:rsid w:val="00192EB9"/>
    <w:rsid w:val="001A05E0"/>
    <w:rsid w:val="001A562A"/>
    <w:rsid w:val="001A6C26"/>
    <w:rsid w:val="001B1FEA"/>
    <w:rsid w:val="001B280F"/>
    <w:rsid w:val="001C4AEC"/>
    <w:rsid w:val="001C517F"/>
    <w:rsid w:val="001C5E85"/>
    <w:rsid w:val="001C5E88"/>
    <w:rsid w:val="001E4BF0"/>
    <w:rsid w:val="001F0D4D"/>
    <w:rsid w:val="001F10C8"/>
    <w:rsid w:val="00200C05"/>
    <w:rsid w:val="002144B9"/>
    <w:rsid w:val="00222AC4"/>
    <w:rsid w:val="00227168"/>
    <w:rsid w:val="00234417"/>
    <w:rsid w:val="00236522"/>
    <w:rsid w:val="00254DC3"/>
    <w:rsid w:val="00260FD8"/>
    <w:rsid w:val="0027199A"/>
    <w:rsid w:val="00285039"/>
    <w:rsid w:val="0028679D"/>
    <w:rsid w:val="002876EC"/>
    <w:rsid w:val="002A5C52"/>
    <w:rsid w:val="002B0A12"/>
    <w:rsid w:val="002C2A49"/>
    <w:rsid w:val="002F7BA8"/>
    <w:rsid w:val="0030200C"/>
    <w:rsid w:val="0031755D"/>
    <w:rsid w:val="00334C4E"/>
    <w:rsid w:val="00345D81"/>
    <w:rsid w:val="00351171"/>
    <w:rsid w:val="00353F6F"/>
    <w:rsid w:val="00354B41"/>
    <w:rsid w:val="00354D4A"/>
    <w:rsid w:val="003554E2"/>
    <w:rsid w:val="003560B6"/>
    <w:rsid w:val="00371DD7"/>
    <w:rsid w:val="0037709D"/>
    <w:rsid w:val="003774C0"/>
    <w:rsid w:val="00396081"/>
    <w:rsid w:val="00396B64"/>
    <w:rsid w:val="003A47B7"/>
    <w:rsid w:val="003A7ABA"/>
    <w:rsid w:val="003B386D"/>
    <w:rsid w:val="003B3D5A"/>
    <w:rsid w:val="003B4F58"/>
    <w:rsid w:val="003D3A64"/>
    <w:rsid w:val="003E1EE1"/>
    <w:rsid w:val="003E385F"/>
    <w:rsid w:val="003F3D9D"/>
    <w:rsid w:val="0041307A"/>
    <w:rsid w:val="00416730"/>
    <w:rsid w:val="00430432"/>
    <w:rsid w:val="0043723A"/>
    <w:rsid w:val="00440C16"/>
    <w:rsid w:val="00460DAC"/>
    <w:rsid w:val="00461D2B"/>
    <w:rsid w:val="004647A4"/>
    <w:rsid w:val="00474C80"/>
    <w:rsid w:val="004858FE"/>
    <w:rsid w:val="004A2D54"/>
    <w:rsid w:val="004B2449"/>
    <w:rsid w:val="004B4BE1"/>
    <w:rsid w:val="004C18A6"/>
    <w:rsid w:val="004D031F"/>
    <w:rsid w:val="004D4427"/>
    <w:rsid w:val="004D7EE2"/>
    <w:rsid w:val="004E1A58"/>
    <w:rsid w:val="004E275D"/>
    <w:rsid w:val="00506065"/>
    <w:rsid w:val="00512493"/>
    <w:rsid w:val="00521765"/>
    <w:rsid w:val="005344CD"/>
    <w:rsid w:val="00540DDC"/>
    <w:rsid w:val="005503D5"/>
    <w:rsid w:val="00553618"/>
    <w:rsid w:val="00554302"/>
    <w:rsid w:val="00566FD8"/>
    <w:rsid w:val="005814E2"/>
    <w:rsid w:val="00592F94"/>
    <w:rsid w:val="005B78CC"/>
    <w:rsid w:val="005E03DA"/>
    <w:rsid w:val="005F53AA"/>
    <w:rsid w:val="006325BA"/>
    <w:rsid w:val="006339E7"/>
    <w:rsid w:val="006519E2"/>
    <w:rsid w:val="00675717"/>
    <w:rsid w:val="00677211"/>
    <w:rsid w:val="00693830"/>
    <w:rsid w:val="006A14F4"/>
    <w:rsid w:val="006A5EC2"/>
    <w:rsid w:val="006B6B2F"/>
    <w:rsid w:val="006D2A3A"/>
    <w:rsid w:val="006E19E7"/>
    <w:rsid w:val="006F31DA"/>
    <w:rsid w:val="00710BF7"/>
    <w:rsid w:val="00732FF6"/>
    <w:rsid w:val="007333CC"/>
    <w:rsid w:val="0075571B"/>
    <w:rsid w:val="007676B1"/>
    <w:rsid w:val="00776ADB"/>
    <w:rsid w:val="0079571F"/>
    <w:rsid w:val="007C3917"/>
    <w:rsid w:val="007E61EA"/>
    <w:rsid w:val="00804931"/>
    <w:rsid w:val="00842EC4"/>
    <w:rsid w:val="00871F2D"/>
    <w:rsid w:val="00881B92"/>
    <w:rsid w:val="00881C21"/>
    <w:rsid w:val="00885F92"/>
    <w:rsid w:val="008A43A3"/>
    <w:rsid w:val="008A7149"/>
    <w:rsid w:val="008B247A"/>
    <w:rsid w:val="008C40CF"/>
    <w:rsid w:val="008D0E0D"/>
    <w:rsid w:val="008D1CAC"/>
    <w:rsid w:val="008E5110"/>
    <w:rsid w:val="008F2A46"/>
    <w:rsid w:val="008F4265"/>
    <w:rsid w:val="008F7126"/>
    <w:rsid w:val="00902233"/>
    <w:rsid w:val="00907D32"/>
    <w:rsid w:val="009148EB"/>
    <w:rsid w:val="00916330"/>
    <w:rsid w:val="00936A66"/>
    <w:rsid w:val="00944182"/>
    <w:rsid w:val="00945F9C"/>
    <w:rsid w:val="00950ACD"/>
    <w:rsid w:val="00983EE1"/>
    <w:rsid w:val="0099709A"/>
    <w:rsid w:val="009A622E"/>
    <w:rsid w:val="009B3CF0"/>
    <w:rsid w:val="009B3F11"/>
    <w:rsid w:val="009D6603"/>
    <w:rsid w:val="009E097A"/>
    <w:rsid w:val="009F15B2"/>
    <w:rsid w:val="009F384E"/>
    <w:rsid w:val="00A100BA"/>
    <w:rsid w:val="00A14B0F"/>
    <w:rsid w:val="00A21C36"/>
    <w:rsid w:val="00A33C15"/>
    <w:rsid w:val="00A41812"/>
    <w:rsid w:val="00A50391"/>
    <w:rsid w:val="00A53D26"/>
    <w:rsid w:val="00A60C00"/>
    <w:rsid w:val="00A74D0B"/>
    <w:rsid w:val="00A8355E"/>
    <w:rsid w:val="00A934E9"/>
    <w:rsid w:val="00AA4426"/>
    <w:rsid w:val="00AA718A"/>
    <w:rsid w:val="00AA7B4B"/>
    <w:rsid w:val="00AB7724"/>
    <w:rsid w:val="00AC2ABE"/>
    <w:rsid w:val="00B13D6F"/>
    <w:rsid w:val="00B1695E"/>
    <w:rsid w:val="00B17A0D"/>
    <w:rsid w:val="00B43E63"/>
    <w:rsid w:val="00B504EA"/>
    <w:rsid w:val="00B60AD7"/>
    <w:rsid w:val="00B73C52"/>
    <w:rsid w:val="00B77555"/>
    <w:rsid w:val="00B87744"/>
    <w:rsid w:val="00B879E2"/>
    <w:rsid w:val="00B9010C"/>
    <w:rsid w:val="00B9048A"/>
    <w:rsid w:val="00B9086B"/>
    <w:rsid w:val="00B91F66"/>
    <w:rsid w:val="00BB0E0A"/>
    <w:rsid w:val="00BB105F"/>
    <w:rsid w:val="00BB10F8"/>
    <w:rsid w:val="00BB11DD"/>
    <w:rsid w:val="00BB1951"/>
    <w:rsid w:val="00BB3A59"/>
    <w:rsid w:val="00BB4CF3"/>
    <w:rsid w:val="00BC3D17"/>
    <w:rsid w:val="00BC42BF"/>
    <w:rsid w:val="00BC4FCE"/>
    <w:rsid w:val="00BC5909"/>
    <w:rsid w:val="00BC59F8"/>
    <w:rsid w:val="00BD2AE6"/>
    <w:rsid w:val="00BD7AE1"/>
    <w:rsid w:val="00BE4CAA"/>
    <w:rsid w:val="00BE5D90"/>
    <w:rsid w:val="00C077D9"/>
    <w:rsid w:val="00C1085C"/>
    <w:rsid w:val="00C113E5"/>
    <w:rsid w:val="00C22C84"/>
    <w:rsid w:val="00C2693B"/>
    <w:rsid w:val="00C35423"/>
    <w:rsid w:val="00C36738"/>
    <w:rsid w:val="00C420EA"/>
    <w:rsid w:val="00C6276E"/>
    <w:rsid w:val="00C6624E"/>
    <w:rsid w:val="00C849CA"/>
    <w:rsid w:val="00C92B32"/>
    <w:rsid w:val="00C93523"/>
    <w:rsid w:val="00CA40C5"/>
    <w:rsid w:val="00CB083C"/>
    <w:rsid w:val="00CB0AD4"/>
    <w:rsid w:val="00CB3AD9"/>
    <w:rsid w:val="00CC10DF"/>
    <w:rsid w:val="00CC118D"/>
    <w:rsid w:val="00CF3BC6"/>
    <w:rsid w:val="00D00121"/>
    <w:rsid w:val="00D15937"/>
    <w:rsid w:val="00D23756"/>
    <w:rsid w:val="00D328C3"/>
    <w:rsid w:val="00D560FA"/>
    <w:rsid w:val="00D612B6"/>
    <w:rsid w:val="00D70F42"/>
    <w:rsid w:val="00D7377C"/>
    <w:rsid w:val="00D742E9"/>
    <w:rsid w:val="00D74FBE"/>
    <w:rsid w:val="00D77ABC"/>
    <w:rsid w:val="00D91825"/>
    <w:rsid w:val="00DA3452"/>
    <w:rsid w:val="00DD64E9"/>
    <w:rsid w:val="00DD7807"/>
    <w:rsid w:val="00E10316"/>
    <w:rsid w:val="00E11ADB"/>
    <w:rsid w:val="00E123B0"/>
    <w:rsid w:val="00E502BE"/>
    <w:rsid w:val="00E60434"/>
    <w:rsid w:val="00E92A5D"/>
    <w:rsid w:val="00E92F27"/>
    <w:rsid w:val="00E97B6D"/>
    <w:rsid w:val="00EA6E3F"/>
    <w:rsid w:val="00ED1965"/>
    <w:rsid w:val="00ED1AC7"/>
    <w:rsid w:val="00EE43CD"/>
    <w:rsid w:val="00F00A62"/>
    <w:rsid w:val="00F1490C"/>
    <w:rsid w:val="00F23939"/>
    <w:rsid w:val="00F30DA4"/>
    <w:rsid w:val="00F36871"/>
    <w:rsid w:val="00F455CD"/>
    <w:rsid w:val="00F47922"/>
    <w:rsid w:val="00F63C3C"/>
    <w:rsid w:val="00F67BE0"/>
    <w:rsid w:val="00F805C1"/>
    <w:rsid w:val="00F82157"/>
    <w:rsid w:val="00F82C5F"/>
    <w:rsid w:val="00F86EB6"/>
    <w:rsid w:val="00F870D7"/>
    <w:rsid w:val="00F94466"/>
    <w:rsid w:val="00FA1361"/>
    <w:rsid w:val="00FC1BD6"/>
    <w:rsid w:val="00FD057D"/>
    <w:rsid w:val="00FF53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900E2B"/>
  <w15:docId w15:val="{0A2FBE98-4A17-4EF6-8F7A-321619B1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 RJH"/>
    <w:qFormat/>
    <w:rsid w:val="00BB4CF3"/>
    <w:pPr>
      <w:spacing w:after="0" w:line="240" w:lineRule="auto"/>
    </w:pPr>
    <w:rPr>
      <w:rFonts w:ascii="Arial Narrow" w:hAnsi="Arial Narrow"/>
      <w:sz w:val="20"/>
    </w:rPr>
  </w:style>
  <w:style w:type="paragraph" w:styleId="Rubrik1">
    <w:name w:val="heading 1"/>
    <w:basedOn w:val="Normal"/>
    <w:next w:val="Normal"/>
    <w:link w:val="Rubrik1Char"/>
    <w:uiPriority w:val="9"/>
    <w:qFormat/>
    <w:rsid w:val="00E502BE"/>
    <w:pPr>
      <w:keepNext/>
      <w:keepLines/>
      <w:spacing w:before="480" w:after="120"/>
      <w:outlineLvl w:val="0"/>
    </w:pPr>
    <w:rPr>
      <w:rFonts w:eastAsiaTheme="majorEastAsia" w:cstheme="majorBidi"/>
      <w:b/>
      <w:bCs/>
      <w:sz w:val="44"/>
      <w:szCs w:val="28"/>
    </w:rPr>
  </w:style>
  <w:style w:type="paragraph" w:styleId="Rubrik2">
    <w:name w:val="heading 2"/>
    <w:basedOn w:val="Normal"/>
    <w:next w:val="Normal"/>
    <w:link w:val="Rubrik2Char"/>
    <w:uiPriority w:val="9"/>
    <w:qFormat/>
    <w:rsid w:val="00E502BE"/>
    <w:pPr>
      <w:keepNext/>
      <w:keepLines/>
      <w:spacing w:before="440" w:after="40"/>
      <w:outlineLvl w:val="1"/>
    </w:pPr>
    <w:rPr>
      <w:rFonts w:eastAsiaTheme="majorEastAsia" w:cstheme="majorBidi"/>
      <w:bCs/>
      <w:sz w:val="28"/>
      <w:szCs w:val="26"/>
    </w:rPr>
  </w:style>
  <w:style w:type="paragraph" w:styleId="Rubrik3">
    <w:name w:val="heading 3"/>
    <w:basedOn w:val="Normal"/>
    <w:next w:val="Normal"/>
    <w:link w:val="Rubrik3Char"/>
    <w:uiPriority w:val="9"/>
    <w:qFormat/>
    <w:rsid w:val="00E502BE"/>
    <w:pPr>
      <w:keepNext/>
      <w:keepLines/>
      <w:spacing w:before="360" w:after="40"/>
      <w:outlineLvl w:val="2"/>
    </w:pPr>
    <w:rPr>
      <w:rFonts w:eastAsiaTheme="majorEastAsia" w:cstheme="majorBidi"/>
      <w:bCs/>
      <w:sz w:val="28"/>
    </w:rPr>
  </w:style>
  <w:style w:type="paragraph" w:styleId="Rubrik4">
    <w:name w:val="heading 4"/>
    <w:basedOn w:val="Normal"/>
    <w:next w:val="Normal"/>
    <w:link w:val="Rubrik4Char"/>
    <w:uiPriority w:val="9"/>
    <w:qFormat/>
    <w:rsid w:val="00F00A62"/>
    <w:pPr>
      <w:keepNext/>
      <w:keepLines/>
      <w:spacing w:before="200"/>
      <w:outlineLvl w:val="3"/>
    </w:pPr>
    <w:rPr>
      <w:rFonts w:ascii="Tahoma" w:eastAsiaTheme="majorEastAsia" w:hAnsi="Tahoma"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02BE"/>
    <w:rPr>
      <w:rFonts w:ascii="Arial Narrow" w:eastAsiaTheme="majorEastAsia" w:hAnsi="Arial Narrow" w:cstheme="majorBidi"/>
      <w:b/>
      <w:bCs/>
      <w:sz w:val="44"/>
      <w:szCs w:val="28"/>
    </w:rPr>
  </w:style>
  <w:style w:type="character" w:customStyle="1" w:styleId="Rubrik2Char">
    <w:name w:val="Rubrik 2 Char"/>
    <w:basedOn w:val="Standardstycketeckensnitt"/>
    <w:link w:val="Rubrik2"/>
    <w:uiPriority w:val="9"/>
    <w:rsid w:val="00E502BE"/>
    <w:rPr>
      <w:rFonts w:ascii="Arial Narrow" w:eastAsiaTheme="majorEastAsia" w:hAnsi="Arial Narrow" w:cstheme="majorBidi"/>
      <w:bCs/>
      <w:sz w:val="28"/>
      <w:szCs w:val="26"/>
    </w:rPr>
  </w:style>
  <w:style w:type="character" w:customStyle="1" w:styleId="Rubrik3Char">
    <w:name w:val="Rubrik 3 Char"/>
    <w:basedOn w:val="Standardstycketeckensnitt"/>
    <w:link w:val="Rubrik3"/>
    <w:uiPriority w:val="9"/>
    <w:rsid w:val="00E502BE"/>
    <w:rPr>
      <w:rFonts w:ascii="Arial Narrow" w:eastAsiaTheme="majorEastAsia" w:hAnsi="Arial Narrow" w:cstheme="majorBidi"/>
      <w:bCs/>
      <w:sz w:val="28"/>
    </w:rPr>
  </w:style>
  <w:style w:type="character" w:customStyle="1" w:styleId="Rubrik4Char">
    <w:name w:val="Rubrik 4 Char"/>
    <w:basedOn w:val="Standardstycketeckensnitt"/>
    <w:link w:val="Rubrik4"/>
    <w:uiPriority w:val="9"/>
    <w:rsid w:val="00F00A62"/>
    <w:rPr>
      <w:rFonts w:ascii="Tahoma" w:eastAsiaTheme="majorEastAsia" w:hAnsi="Tahoma" w:cstheme="majorBidi"/>
      <w:b/>
      <w:bCs/>
      <w:iCs/>
      <w:sz w:val="20"/>
    </w:rPr>
  </w:style>
  <w:style w:type="character" w:styleId="Hyperlnk">
    <w:name w:val="Hyperlink"/>
    <w:basedOn w:val="Standardstycketeckensnitt"/>
    <w:uiPriority w:val="99"/>
    <w:unhideWhenUsed/>
    <w:rsid w:val="00BB4CF3"/>
    <w:rPr>
      <w:color w:val="000000" w:themeColor="hyperlink"/>
      <w:u w:val="single"/>
    </w:rPr>
  </w:style>
  <w:style w:type="paragraph" w:customStyle="1" w:styleId="Ingress-RJH">
    <w:name w:val="Ingress-RJH"/>
    <w:qFormat/>
    <w:rsid w:val="00BB4CF3"/>
    <w:pPr>
      <w:spacing w:after="700" w:line="312" w:lineRule="auto"/>
    </w:pPr>
    <w:rPr>
      <w:rFonts w:ascii="Arial Narrow" w:hAnsi="Arial Narrow"/>
      <w:noProof/>
      <w:sz w:val="24"/>
      <w:lang w:eastAsia="sv-SE"/>
    </w:rPr>
  </w:style>
  <w:style w:type="paragraph" w:styleId="Innehll1">
    <w:name w:val="toc 1"/>
    <w:basedOn w:val="Normal"/>
    <w:next w:val="Normal"/>
    <w:autoRedefine/>
    <w:uiPriority w:val="39"/>
    <w:unhideWhenUsed/>
    <w:rsid w:val="00BB4CF3"/>
    <w:pPr>
      <w:tabs>
        <w:tab w:val="right" w:leader="dot" w:pos="8154"/>
      </w:tabs>
      <w:spacing w:before="160"/>
    </w:pPr>
    <w:rPr>
      <w:caps/>
      <w:sz w:val="24"/>
    </w:rPr>
  </w:style>
  <w:style w:type="paragraph" w:styleId="Innehll2">
    <w:name w:val="toc 2"/>
    <w:basedOn w:val="Normal"/>
    <w:next w:val="Normal"/>
    <w:autoRedefine/>
    <w:uiPriority w:val="39"/>
    <w:unhideWhenUsed/>
    <w:rsid w:val="00BB4CF3"/>
  </w:style>
  <w:style w:type="paragraph" w:styleId="Ballongtext">
    <w:name w:val="Balloon Text"/>
    <w:basedOn w:val="Normal"/>
    <w:link w:val="BallongtextChar"/>
    <w:uiPriority w:val="99"/>
    <w:semiHidden/>
    <w:unhideWhenUsed/>
    <w:rsid w:val="00BB4CF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B4CF3"/>
    <w:rPr>
      <w:rFonts w:ascii="Segoe UI" w:hAnsi="Segoe UI" w:cs="Segoe UI"/>
      <w:sz w:val="18"/>
      <w:szCs w:val="18"/>
    </w:rPr>
  </w:style>
  <w:style w:type="paragraph" w:styleId="Innehll3">
    <w:name w:val="toc 3"/>
    <w:basedOn w:val="Normal"/>
    <w:next w:val="Normal"/>
    <w:autoRedefine/>
    <w:uiPriority w:val="39"/>
    <w:unhideWhenUsed/>
    <w:rsid w:val="00BB4CF3"/>
    <w:pPr>
      <w:spacing w:after="200"/>
      <w:ind w:left="170"/>
    </w:pPr>
  </w:style>
  <w:style w:type="paragraph" w:styleId="Innehllsfrteckningsrubrik">
    <w:name w:val="TOC Heading"/>
    <w:basedOn w:val="Rubrik1"/>
    <w:next w:val="Normal"/>
    <w:uiPriority w:val="39"/>
    <w:unhideWhenUsed/>
    <w:qFormat/>
    <w:rsid w:val="00BB4CF3"/>
    <w:pPr>
      <w:spacing w:after="160"/>
      <w:outlineLvl w:val="9"/>
    </w:pPr>
    <w:rPr>
      <w:rFonts w:asciiTheme="majorHAnsi" w:hAnsiTheme="majorHAnsi"/>
      <w:b w:val="0"/>
      <w:bCs w:val="0"/>
      <w:szCs w:val="32"/>
      <w:lang w:eastAsia="sv-SE"/>
    </w:rPr>
  </w:style>
  <w:style w:type="paragraph" w:styleId="Numreradlista">
    <w:name w:val="List Number"/>
    <w:aliases w:val="Numrerad lista - RJH"/>
    <w:basedOn w:val="Normal"/>
    <w:uiPriority w:val="99"/>
    <w:unhideWhenUsed/>
    <w:rsid w:val="00BB4CF3"/>
    <w:pPr>
      <w:numPr>
        <w:numId w:val="2"/>
      </w:numPr>
      <w:spacing w:before="280" w:after="280" w:line="288" w:lineRule="auto"/>
      <w:contextualSpacing/>
    </w:pPr>
    <w:rPr>
      <w:rFonts w:ascii="Georgia" w:hAnsi="Georgia"/>
    </w:rPr>
  </w:style>
  <w:style w:type="paragraph" w:styleId="Punktlista">
    <w:name w:val="List Bullet"/>
    <w:aliases w:val="Punktlista - RJH"/>
    <w:basedOn w:val="Normal"/>
    <w:uiPriority w:val="99"/>
    <w:unhideWhenUsed/>
    <w:rsid w:val="00BB4CF3"/>
    <w:pPr>
      <w:numPr>
        <w:numId w:val="4"/>
      </w:numPr>
      <w:spacing w:before="280" w:after="280" w:line="288" w:lineRule="auto"/>
      <w:contextualSpacing/>
    </w:pPr>
    <w:rPr>
      <w:rFonts w:ascii="Georgia" w:hAnsi="Georgia"/>
    </w:rPr>
  </w:style>
  <w:style w:type="paragraph" w:customStyle="1" w:styleId="Brdtext-RJH">
    <w:name w:val="Brödtext - RJH"/>
    <w:qFormat/>
    <w:rsid w:val="00BB4CF3"/>
    <w:pPr>
      <w:spacing w:after="0" w:line="288" w:lineRule="auto"/>
    </w:pPr>
    <w:rPr>
      <w:rFonts w:ascii="Georgia" w:hAnsi="Georgia"/>
      <w:sz w:val="20"/>
      <w:szCs w:val="20"/>
      <w:lang w:val="la-Latn"/>
    </w:rPr>
  </w:style>
  <w:style w:type="paragraph" w:styleId="Sidfot">
    <w:name w:val="footer"/>
    <w:basedOn w:val="Normal"/>
    <w:link w:val="SidfotChar"/>
    <w:uiPriority w:val="99"/>
    <w:unhideWhenUsed/>
    <w:rsid w:val="00BB4CF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BB4CF3"/>
    <w:rPr>
      <w:rFonts w:ascii="Arial" w:hAnsi="Arial"/>
      <w:sz w:val="20"/>
    </w:rPr>
  </w:style>
  <w:style w:type="paragraph" w:styleId="Sidhuvud">
    <w:name w:val="header"/>
    <w:basedOn w:val="Normal"/>
    <w:link w:val="SidhuvudChar"/>
    <w:uiPriority w:val="99"/>
    <w:unhideWhenUsed/>
    <w:rsid w:val="00BB4CF3"/>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BB4CF3"/>
    <w:rPr>
      <w:rFonts w:ascii="Arial" w:eastAsia="Times New Roman" w:hAnsi="Arial" w:cs="Times New Roman"/>
      <w:caps/>
      <w:sz w:val="12"/>
      <w:szCs w:val="13"/>
    </w:rPr>
  </w:style>
  <w:style w:type="paragraph" w:customStyle="1" w:styleId="Sidhuvudsidnumrering-RJH">
    <w:name w:val="Sidhuvud sidnumrering - RJH"/>
    <w:rsid w:val="00BB4CF3"/>
    <w:pPr>
      <w:tabs>
        <w:tab w:val="center" w:pos="4536"/>
        <w:tab w:val="right" w:pos="9072"/>
      </w:tabs>
      <w:spacing w:after="0" w:line="180" w:lineRule="exact"/>
    </w:pPr>
    <w:rPr>
      <w:rFonts w:ascii="Arial" w:eastAsia="Times New Roman" w:hAnsi="Arial" w:cs="Times New Roman"/>
      <w:caps/>
      <w:sz w:val="12"/>
      <w:szCs w:val="13"/>
    </w:rPr>
  </w:style>
  <w:style w:type="paragraph" w:styleId="Fotnotstext">
    <w:name w:val="footnote text"/>
    <w:basedOn w:val="Normal"/>
    <w:link w:val="FotnotstextChar"/>
    <w:uiPriority w:val="99"/>
    <w:semiHidden/>
    <w:unhideWhenUsed/>
    <w:rsid w:val="00371DD7"/>
    <w:rPr>
      <w:rFonts w:ascii="Verdana" w:hAnsi="Verdana" w:cs="Times New Roman"/>
      <w:szCs w:val="20"/>
    </w:rPr>
  </w:style>
  <w:style w:type="character" w:customStyle="1" w:styleId="FotnotstextChar">
    <w:name w:val="Fotnotstext Char"/>
    <w:basedOn w:val="Standardstycketeckensnitt"/>
    <w:link w:val="Fotnotstext"/>
    <w:uiPriority w:val="99"/>
    <w:semiHidden/>
    <w:rsid w:val="00371DD7"/>
    <w:rPr>
      <w:rFonts w:ascii="Verdana" w:hAnsi="Verdana" w:cs="Times New Roman"/>
      <w:sz w:val="20"/>
      <w:szCs w:val="20"/>
    </w:rPr>
  </w:style>
  <w:style w:type="paragraph" w:customStyle="1" w:styleId="Titel">
    <w:name w:val="Titel"/>
    <w:basedOn w:val="Normal"/>
    <w:next w:val="Normal"/>
    <w:qFormat/>
    <w:rsid w:val="00371DD7"/>
    <w:pPr>
      <w:spacing w:after="40" w:line="260" w:lineRule="atLeast"/>
    </w:pPr>
    <w:rPr>
      <w:rFonts w:ascii="Verdana" w:hAnsi="Verdana" w:cs="Times New Roman"/>
      <w:b/>
      <w:sz w:val="40"/>
    </w:rPr>
  </w:style>
  <w:style w:type="paragraph" w:customStyle="1" w:styleId="Default">
    <w:name w:val="Default"/>
    <w:rsid w:val="00371DD7"/>
    <w:pPr>
      <w:autoSpaceDE w:val="0"/>
      <w:autoSpaceDN w:val="0"/>
      <w:adjustRightInd w:val="0"/>
      <w:spacing w:after="0" w:line="240" w:lineRule="auto"/>
    </w:pPr>
    <w:rPr>
      <w:rFonts w:ascii="Calibri" w:hAnsi="Calibri" w:cs="Calibri"/>
      <w:color w:val="000000"/>
      <w:sz w:val="24"/>
      <w:szCs w:val="24"/>
    </w:rPr>
  </w:style>
  <w:style w:type="character" w:styleId="Fotnotsreferens">
    <w:name w:val="footnote reference"/>
    <w:basedOn w:val="Standardstycketeckensnitt"/>
    <w:uiPriority w:val="99"/>
    <w:semiHidden/>
    <w:unhideWhenUsed/>
    <w:rsid w:val="00371DD7"/>
    <w:rPr>
      <w:vertAlign w:val="superscript"/>
    </w:rPr>
  </w:style>
  <w:style w:type="paragraph" w:styleId="Liststycke">
    <w:name w:val="List Paragraph"/>
    <w:basedOn w:val="Normal"/>
    <w:uiPriority w:val="34"/>
    <w:qFormat/>
    <w:rsid w:val="00371DD7"/>
    <w:pPr>
      <w:ind w:left="720"/>
      <w:contextualSpacing/>
    </w:pPr>
  </w:style>
  <w:style w:type="table" w:styleId="Tabellrutnt">
    <w:name w:val="Table Grid"/>
    <w:basedOn w:val="Normaltabell"/>
    <w:uiPriority w:val="59"/>
    <w:rsid w:val="001E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A40C5"/>
    <w:rPr>
      <w:sz w:val="16"/>
      <w:szCs w:val="16"/>
    </w:rPr>
  </w:style>
  <w:style w:type="paragraph" w:styleId="Kommentarer">
    <w:name w:val="annotation text"/>
    <w:basedOn w:val="Normal"/>
    <w:link w:val="KommentarerChar"/>
    <w:uiPriority w:val="99"/>
    <w:semiHidden/>
    <w:unhideWhenUsed/>
    <w:rsid w:val="00CA40C5"/>
    <w:rPr>
      <w:szCs w:val="20"/>
    </w:rPr>
  </w:style>
  <w:style w:type="character" w:customStyle="1" w:styleId="KommentarerChar">
    <w:name w:val="Kommentarer Char"/>
    <w:basedOn w:val="Standardstycketeckensnitt"/>
    <w:link w:val="Kommentarer"/>
    <w:uiPriority w:val="99"/>
    <w:semiHidden/>
    <w:rsid w:val="00CA40C5"/>
    <w:rPr>
      <w:rFonts w:ascii="Arial Narrow" w:hAnsi="Arial Narrow"/>
      <w:sz w:val="20"/>
      <w:szCs w:val="20"/>
    </w:rPr>
  </w:style>
  <w:style w:type="paragraph" w:styleId="Kommentarsmne">
    <w:name w:val="annotation subject"/>
    <w:basedOn w:val="Kommentarer"/>
    <w:next w:val="Kommentarer"/>
    <w:link w:val="KommentarsmneChar"/>
    <w:uiPriority w:val="99"/>
    <w:semiHidden/>
    <w:unhideWhenUsed/>
    <w:rsid w:val="00CA40C5"/>
    <w:rPr>
      <w:b/>
      <w:bCs/>
    </w:rPr>
  </w:style>
  <w:style w:type="character" w:customStyle="1" w:styleId="KommentarsmneChar">
    <w:name w:val="Kommentarsämne Char"/>
    <w:basedOn w:val="KommentarerChar"/>
    <w:link w:val="Kommentarsmne"/>
    <w:uiPriority w:val="99"/>
    <w:semiHidden/>
    <w:rsid w:val="00CA40C5"/>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73729">
      <w:bodyDiv w:val="1"/>
      <w:marLeft w:val="0"/>
      <w:marRight w:val="0"/>
      <w:marTop w:val="0"/>
      <w:marBottom w:val="0"/>
      <w:divBdr>
        <w:top w:val="none" w:sz="0" w:space="0" w:color="auto"/>
        <w:left w:val="none" w:sz="0" w:space="0" w:color="auto"/>
        <w:bottom w:val="none" w:sz="0" w:space="0" w:color="auto"/>
        <w:right w:val="none" w:sz="0" w:space="0" w:color="auto"/>
      </w:divBdr>
    </w:div>
    <w:div w:id="711076795">
      <w:bodyDiv w:val="1"/>
      <w:marLeft w:val="0"/>
      <w:marRight w:val="0"/>
      <w:marTop w:val="0"/>
      <w:marBottom w:val="0"/>
      <w:divBdr>
        <w:top w:val="none" w:sz="0" w:space="0" w:color="auto"/>
        <w:left w:val="none" w:sz="0" w:space="0" w:color="auto"/>
        <w:bottom w:val="none" w:sz="0" w:space="0" w:color="auto"/>
        <w:right w:val="none" w:sz="0" w:space="0" w:color="auto"/>
      </w:divBdr>
    </w:div>
    <w:div w:id="2111655861">
      <w:bodyDiv w:val="1"/>
      <w:marLeft w:val="0"/>
      <w:marRight w:val="0"/>
      <w:marTop w:val="0"/>
      <w:marBottom w:val="0"/>
      <w:divBdr>
        <w:top w:val="none" w:sz="0" w:space="0" w:color="auto"/>
        <w:left w:val="none" w:sz="0" w:space="0" w:color="auto"/>
        <w:bottom w:val="none" w:sz="0" w:space="0" w:color="auto"/>
        <w:right w:val="none" w:sz="0" w:space="0" w:color="auto"/>
      </w:divBdr>
      <w:divsChild>
        <w:div w:id="2021621659">
          <w:marLeft w:val="0"/>
          <w:marRight w:val="0"/>
          <w:marTop w:val="0"/>
          <w:marBottom w:val="0"/>
          <w:divBdr>
            <w:top w:val="none" w:sz="0" w:space="0" w:color="auto"/>
            <w:left w:val="none" w:sz="0" w:space="0" w:color="auto"/>
            <w:bottom w:val="none" w:sz="0" w:space="0" w:color="auto"/>
            <w:right w:val="none" w:sz="0" w:space="0" w:color="auto"/>
          </w:divBdr>
          <w:divsChild>
            <w:div w:id="1651053169">
              <w:marLeft w:val="0"/>
              <w:marRight w:val="0"/>
              <w:marTop w:val="0"/>
              <w:marBottom w:val="0"/>
              <w:divBdr>
                <w:top w:val="none" w:sz="0" w:space="0" w:color="auto"/>
                <w:left w:val="none" w:sz="0" w:space="0" w:color="auto"/>
                <w:bottom w:val="none" w:sz="0" w:space="0" w:color="auto"/>
                <w:right w:val="none" w:sz="0" w:space="0" w:color="auto"/>
              </w:divBdr>
              <w:divsChild>
                <w:div w:id="1281953422">
                  <w:marLeft w:val="0"/>
                  <w:marRight w:val="0"/>
                  <w:marTop w:val="0"/>
                  <w:marBottom w:val="0"/>
                  <w:divBdr>
                    <w:top w:val="none" w:sz="0" w:space="0" w:color="auto"/>
                    <w:left w:val="none" w:sz="0" w:space="0" w:color="auto"/>
                    <w:bottom w:val="none" w:sz="0" w:space="0" w:color="auto"/>
                    <w:right w:val="none" w:sz="0" w:space="0" w:color="auto"/>
                  </w:divBdr>
                  <w:divsChild>
                    <w:div w:id="515072239">
                      <w:marLeft w:val="0"/>
                      <w:marRight w:val="0"/>
                      <w:marTop w:val="0"/>
                      <w:marBottom w:val="0"/>
                      <w:divBdr>
                        <w:top w:val="none" w:sz="0" w:space="0" w:color="auto"/>
                        <w:left w:val="none" w:sz="0" w:space="0" w:color="auto"/>
                        <w:bottom w:val="none" w:sz="0" w:space="0" w:color="auto"/>
                        <w:right w:val="none" w:sz="0" w:space="0" w:color="auto"/>
                      </w:divBdr>
                      <w:divsChild>
                        <w:div w:id="772675620">
                          <w:marLeft w:val="0"/>
                          <w:marRight w:val="0"/>
                          <w:marTop w:val="0"/>
                          <w:marBottom w:val="0"/>
                          <w:divBdr>
                            <w:top w:val="none" w:sz="0" w:space="0" w:color="auto"/>
                            <w:left w:val="none" w:sz="0" w:space="0" w:color="auto"/>
                            <w:bottom w:val="none" w:sz="0" w:space="0" w:color="auto"/>
                            <w:right w:val="none" w:sz="0" w:space="0" w:color="auto"/>
                          </w:divBdr>
                          <w:divsChild>
                            <w:div w:id="1764180828">
                              <w:marLeft w:val="15"/>
                              <w:marRight w:val="195"/>
                              <w:marTop w:val="0"/>
                              <w:marBottom w:val="0"/>
                              <w:divBdr>
                                <w:top w:val="none" w:sz="0" w:space="0" w:color="auto"/>
                                <w:left w:val="none" w:sz="0" w:space="0" w:color="auto"/>
                                <w:bottom w:val="none" w:sz="0" w:space="0" w:color="auto"/>
                                <w:right w:val="none" w:sz="0" w:space="0" w:color="auto"/>
                              </w:divBdr>
                              <w:divsChild>
                                <w:div w:id="1829902197">
                                  <w:marLeft w:val="0"/>
                                  <w:marRight w:val="0"/>
                                  <w:marTop w:val="0"/>
                                  <w:marBottom w:val="0"/>
                                  <w:divBdr>
                                    <w:top w:val="none" w:sz="0" w:space="0" w:color="auto"/>
                                    <w:left w:val="none" w:sz="0" w:space="0" w:color="auto"/>
                                    <w:bottom w:val="none" w:sz="0" w:space="0" w:color="auto"/>
                                    <w:right w:val="none" w:sz="0" w:space="0" w:color="auto"/>
                                  </w:divBdr>
                                  <w:divsChild>
                                    <w:div w:id="1092123639">
                                      <w:marLeft w:val="0"/>
                                      <w:marRight w:val="0"/>
                                      <w:marTop w:val="0"/>
                                      <w:marBottom w:val="0"/>
                                      <w:divBdr>
                                        <w:top w:val="none" w:sz="0" w:space="0" w:color="auto"/>
                                        <w:left w:val="none" w:sz="0" w:space="0" w:color="auto"/>
                                        <w:bottom w:val="none" w:sz="0" w:space="0" w:color="auto"/>
                                        <w:right w:val="none" w:sz="0" w:space="0" w:color="auto"/>
                                      </w:divBdr>
                                      <w:divsChild>
                                        <w:div w:id="1866819820">
                                          <w:marLeft w:val="0"/>
                                          <w:marRight w:val="0"/>
                                          <w:marTop w:val="0"/>
                                          <w:marBottom w:val="0"/>
                                          <w:divBdr>
                                            <w:top w:val="none" w:sz="0" w:space="0" w:color="auto"/>
                                            <w:left w:val="none" w:sz="0" w:space="0" w:color="auto"/>
                                            <w:bottom w:val="none" w:sz="0" w:space="0" w:color="auto"/>
                                            <w:right w:val="none" w:sz="0" w:space="0" w:color="auto"/>
                                          </w:divBdr>
                                          <w:divsChild>
                                            <w:div w:id="384068915">
                                              <w:marLeft w:val="0"/>
                                              <w:marRight w:val="0"/>
                                              <w:marTop w:val="0"/>
                                              <w:marBottom w:val="0"/>
                                              <w:divBdr>
                                                <w:top w:val="none" w:sz="0" w:space="0" w:color="auto"/>
                                                <w:left w:val="none" w:sz="0" w:space="0" w:color="auto"/>
                                                <w:bottom w:val="none" w:sz="0" w:space="0" w:color="auto"/>
                                                <w:right w:val="none" w:sz="0" w:space="0" w:color="auto"/>
                                              </w:divBdr>
                                              <w:divsChild>
                                                <w:div w:id="61604207">
                                                  <w:marLeft w:val="0"/>
                                                  <w:marRight w:val="0"/>
                                                  <w:marTop w:val="0"/>
                                                  <w:marBottom w:val="0"/>
                                                  <w:divBdr>
                                                    <w:top w:val="none" w:sz="0" w:space="0" w:color="auto"/>
                                                    <w:left w:val="none" w:sz="0" w:space="0" w:color="auto"/>
                                                    <w:bottom w:val="none" w:sz="0" w:space="0" w:color="auto"/>
                                                    <w:right w:val="none" w:sz="0" w:space="0" w:color="auto"/>
                                                  </w:divBdr>
                                                  <w:divsChild>
                                                    <w:div w:id="2128234374">
                                                      <w:marLeft w:val="0"/>
                                                      <w:marRight w:val="0"/>
                                                      <w:marTop w:val="0"/>
                                                      <w:marBottom w:val="0"/>
                                                      <w:divBdr>
                                                        <w:top w:val="none" w:sz="0" w:space="0" w:color="auto"/>
                                                        <w:left w:val="none" w:sz="0" w:space="0" w:color="auto"/>
                                                        <w:bottom w:val="none" w:sz="0" w:space="0" w:color="auto"/>
                                                        <w:right w:val="none" w:sz="0" w:space="0" w:color="auto"/>
                                                      </w:divBdr>
                                                      <w:divsChild>
                                                        <w:div w:id="550113124">
                                                          <w:marLeft w:val="0"/>
                                                          <w:marRight w:val="0"/>
                                                          <w:marTop w:val="0"/>
                                                          <w:marBottom w:val="0"/>
                                                          <w:divBdr>
                                                            <w:top w:val="none" w:sz="0" w:space="0" w:color="auto"/>
                                                            <w:left w:val="none" w:sz="0" w:space="0" w:color="auto"/>
                                                            <w:bottom w:val="none" w:sz="0" w:space="0" w:color="auto"/>
                                                            <w:right w:val="none" w:sz="0" w:space="0" w:color="auto"/>
                                                          </w:divBdr>
                                                          <w:divsChild>
                                                            <w:div w:id="212549627">
                                                              <w:marLeft w:val="0"/>
                                                              <w:marRight w:val="0"/>
                                                              <w:marTop w:val="0"/>
                                                              <w:marBottom w:val="0"/>
                                                              <w:divBdr>
                                                                <w:top w:val="none" w:sz="0" w:space="0" w:color="auto"/>
                                                                <w:left w:val="none" w:sz="0" w:space="0" w:color="auto"/>
                                                                <w:bottom w:val="none" w:sz="0" w:space="0" w:color="auto"/>
                                                                <w:right w:val="none" w:sz="0" w:space="0" w:color="auto"/>
                                                              </w:divBdr>
                                                              <w:divsChild>
                                                                <w:div w:id="489254997">
                                                                  <w:marLeft w:val="0"/>
                                                                  <w:marRight w:val="0"/>
                                                                  <w:marTop w:val="0"/>
                                                                  <w:marBottom w:val="0"/>
                                                                  <w:divBdr>
                                                                    <w:top w:val="none" w:sz="0" w:space="0" w:color="auto"/>
                                                                    <w:left w:val="none" w:sz="0" w:space="0" w:color="auto"/>
                                                                    <w:bottom w:val="none" w:sz="0" w:space="0" w:color="auto"/>
                                                                    <w:right w:val="none" w:sz="0" w:space="0" w:color="auto"/>
                                                                  </w:divBdr>
                                                                  <w:divsChild>
                                                                    <w:div w:id="2037123076">
                                                                      <w:marLeft w:val="405"/>
                                                                      <w:marRight w:val="0"/>
                                                                      <w:marTop w:val="0"/>
                                                                      <w:marBottom w:val="0"/>
                                                                      <w:divBdr>
                                                                        <w:top w:val="none" w:sz="0" w:space="0" w:color="auto"/>
                                                                        <w:left w:val="none" w:sz="0" w:space="0" w:color="auto"/>
                                                                        <w:bottom w:val="none" w:sz="0" w:space="0" w:color="auto"/>
                                                                        <w:right w:val="none" w:sz="0" w:space="0" w:color="auto"/>
                                                                      </w:divBdr>
                                                                      <w:divsChild>
                                                                        <w:div w:id="254560538">
                                                                          <w:marLeft w:val="0"/>
                                                                          <w:marRight w:val="0"/>
                                                                          <w:marTop w:val="0"/>
                                                                          <w:marBottom w:val="0"/>
                                                                          <w:divBdr>
                                                                            <w:top w:val="none" w:sz="0" w:space="0" w:color="auto"/>
                                                                            <w:left w:val="none" w:sz="0" w:space="0" w:color="auto"/>
                                                                            <w:bottom w:val="none" w:sz="0" w:space="0" w:color="auto"/>
                                                                            <w:right w:val="none" w:sz="0" w:space="0" w:color="auto"/>
                                                                          </w:divBdr>
                                                                          <w:divsChild>
                                                                            <w:div w:id="1139570570">
                                                                              <w:marLeft w:val="0"/>
                                                                              <w:marRight w:val="0"/>
                                                                              <w:marTop w:val="0"/>
                                                                              <w:marBottom w:val="0"/>
                                                                              <w:divBdr>
                                                                                <w:top w:val="none" w:sz="0" w:space="0" w:color="auto"/>
                                                                                <w:left w:val="none" w:sz="0" w:space="0" w:color="auto"/>
                                                                                <w:bottom w:val="none" w:sz="0" w:space="0" w:color="auto"/>
                                                                                <w:right w:val="none" w:sz="0" w:space="0" w:color="auto"/>
                                                                              </w:divBdr>
                                                                              <w:divsChild>
                                                                                <w:div w:id="1597053535">
                                                                                  <w:marLeft w:val="0"/>
                                                                                  <w:marRight w:val="0"/>
                                                                                  <w:marTop w:val="0"/>
                                                                                  <w:marBottom w:val="0"/>
                                                                                  <w:divBdr>
                                                                                    <w:top w:val="none" w:sz="0" w:space="0" w:color="auto"/>
                                                                                    <w:left w:val="none" w:sz="0" w:space="0" w:color="auto"/>
                                                                                    <w:bottom w:val="none" w:sz="0" w:space="0" w:color="auto"/>
                                                                                    <w:right w:val="none" w:sz="0" w:space="0" w:color="auto"/>
                                                                                  </w:divBdr>
                                                                                  <w:divsChild>
                                                                                    <w:div w:id="2142531374">
                                                                                      <w:marLeft w:val="0"/>
                                                                                      <w:marRight w:val="0"/>
                                                                                      <w:marTop w:val="0"/>
                                                                                      <w:marBottom w:val="0"/>
                                                                                      <w:divBdr>
                                                                                        <w:top w:val="none" w:sz="0" w:space="0" w:color="auto"/>
                                                                                        <w:left w:val="none" w:sz="0" w:space="0" w:color="auto"/>
                                                                                        <w:bottom w:val="none" w:sz="0" w:space="0" w:color="auto"/>
                                                                                        <w:right w:val="none" w:sz="0" w:space="0" w:color="auto"/>
                                                                                      </w:divBdr>
                                                                                      <w:divsChild>
                                                                                        <w:div w:id="2121604091">
                                                                                          <w:marLeft w:val="0"/>
                                                                                          <w:marRight w:val="0"/>
                                                                                          <w:marTop w:val="0"/>
                                                                                          <w:marBottom w:val="0"/>
                                                                                          <w:divBdr>
                                                                                            <w:top w:val="none" w:sz="0" w:space="0" w:color="auto"/>
                                                                                            <w:left w:val="none" w:sz="0" w:space="0" w:color="auto"/>
                                                                                            <w:bottom w:val="none" w:sz="0" w:space="0" w:color="auto"/>
                                                                                            <w:right w:val="none" w:sz="0" w:space="0" w:color="auto"/>
                                                                                          </w:divBdr>
                                                                                          <w:divsChild>
                                                                                            <w:div w:id="207884736">
                                                                                              <w:marLeft w:val="0"/>
                                                                                              <w:marRight w:val="0"/>
                                                                                              <w:marTop w:val="0"/>
                                                                                              <w:marBottom w:val="0"/>
                                                                                              <w:divBdr>
                                                                                                <w:top w:val="none" w:sz="0" w:space="0" w:color="auto"/>
                                                                                                <w:left w:val="none" w:sz="0" w:space="0" w:color="auto"/>
                                                                                                <w:bottom w:val="none" w:sz="0" w:space="0" w:color="auto"/>
                                                                                                <w:right w:val="none" w:sz="0" w:space="0" w:color="auto"/>
                                                                                              </w:divBdr>
                                                                                              <w:divsChild>
                                                                                                <w:div w:id="3560397">
                                                                                                  <w:marLeft w:val="0"/>
                                                                                                  <w:marRight w:val="0"/>
                                                                                                  <w:marTop w:val="0"/>
                                                                                                  <w:marBottom w:val="0"/>
                                                                                                  <w:divBdr>
                                                                                                    <w:top w:val="none" w:sz="0" w:space="0" w:color="auto"/>
                                                                                                    <w:left w:val="none" w:sz="0" w:space="0" w:color="auto"/>
                                                                                                    <w:bottom w:val="single" w:sz="6" w:space="15" w:color="auto"/>
                                                                                                    <w:right w:val="none" w:sz="0" w:space="0" w:color="auto"/>
                                                                                                  </w:divBdr>
                                                                                                  <w:divsChild>
                                                                                                    <w:div w:id="1115951976">
                                                                                                      <w:marLeft w:val="0"/>
                                                                                                      <w:marRight w:val="0"/>
                                                                                                      <w:marTop w:val="60"/>
                                                                                                      <w:marBottom w:val="0"/>
                                                                                                      <w:divBdr>
                                                                                                        <w:top w:val="none" w:sz="0" w:space="0" w:color="auto"/>
                                                                                                        <w:left w:val="none" w:sz="0" w:space="0" w:color="auto"/>
                                                                                                        <w:bottom w:val="none" w:sz="0" w:space="0" w:color="auto"/>
                                                                                                        <w:right w:val="none" w:sz="0" w:space="0" w:color="auto"/>
                                                                                                      </w:divBdr>
                                                                                                      <w:divsChild>
                                                                                                        <w:div w:id="1978056">
                                                                                                          <w:marLeft w:val="0"/>
                                                                                                          <w:marRight w:val="0"/>
                                                                                                          <w:marTop w:val="0"/>
                                                                                                          <w:marBottom w:val="0"/>
                                                                                                          <w:divBdr>
                                                                                                            <w:top w:val="none" w:sz="0" w:space="0" w:color="auto"/>
                                                                                                            <w:left w:val="none" w:sz="0" w:space="0" w:color="auto"/>
                                                                                                            <w:bottom w:val="none" w:sz="0" w:space="0" w:color="auto"/>
                                                                                                            <w:right w:val="none" w:sz="0" w:space="0" w:color="auto"/>
                                                                                                          </w:divBdr>
                                                                                                          <w:divsChild>
                                                                                                            <w:div w:id="1931739756">
                                                                                                              <w:marLeft w:val="0"/>
                                                                                                              <w:marRight w:val="0"/>
                                                                                                              <w:marTop w:val="0"/>
                                                                                                              <w:marBottom w:val="0"/>
                                                                                                              <w:divBdr>
                                                                                                                <w:top w:val="none" w:sz="0" w:space="0" w:color="auto"/>
                                                                                                                <w:left w:val="none" w:sz="0" w:space="0" w:color="auto"/>
                                                                                                                <w:bottom w:val="none" w:sz="0" w:space="0" w:color="auto"/>
                                                                                                                <w:right w:val="none" w:sz="0" w:space="0" w:color="auto"/>
                                                                                                              </w:divBdr>
                                                                                                              <w:divsChild>
                                                                                                                <w:div w:id="1898779892">
                                                                                                                  <w:marLeft w:val="0"/>
                                                                                                                  <w:marRight w:val="0"/>
                                                                                                                  <w:marTop w:val="0"/>
                                                                                                                  <w:marBottom w:val="0"/>
                                                                                                                  <w:divBdr>
                                                                                                                    <w:top w:val="none" w:sz="0" w:space="0" w:color="auto"/>
                                                                                                                    <w:left w:val="none" w:sz="0" w:space="0" w:color="auto"/>
                                                                                                                    <w:bottom w:val="none" w:sz="0" w:space="0" w:color="auto"/>
                                                                                                                    <w:right w:val="none" w:sz="0" w:space="0" w:color="auto"/>
                                                                                                                  </w:divBdr>
                                                                                                                  <w:divsChild>
                                                                                                                    <w:div w:id="29308157">
                                                                                                                      <w:marLeft w:val="0"/>
                                                                                                                      <w:marRight w:val="0"/>
                                                                                                                      <w:marTop w:val="0"/>
                                                                                                                      <w:marBottom w:val="0"/>
                                                                                                                      <w:divBdr>
                                                                                                                        <w:top w:val="none" w:sz="0" w:space="0" w:color="auto"/>
                                                                                                                        <w:left w:val="none" w:sz="0" w:space="0" w:color="auto"/>
                                                                                                                        <w:bottom w:val="none" w:sz="0" w:space="0" w:color="auto"/>
                                                                                                                        <w:right w:val="none" w:sz="0" w:space="0" w:color="auto"/>
                                                                                                                      </w:divBdr>
                                                                                                                      <w:divsChild>
                                                                                                                        <w:div w:id="1354648184">
                                                                                                                          <w:marLeft w:val="0"/>
                                                                                                                          <w:marRight w:val="0"/>
                                                                                                                          <w:marTop w:val="0"/>
                                                                                                                          <w:marBottom w:val="0"/>
                                                                                                                          <w:divBdr>
                                                                                                                            <w:top w:val="none" w:sz="0" w:space="0" w:color="auto"/>
                                                                                                                            <w:left w:val="none" w:sz="0" w:space="0" w:color="auto"/>
                                                                                                                            <w:bottom w:val="none" w:sz="0" w:space="0" w:color="auto"/>
                                                                                                                            <w:right w:val="none" w:sz="0" w:space="0" w:color="auto"/>
                                                                                                                          </w:divBdr>
                                                                                                                          <w:divsChild>
                                                                                                                            <w:div w:id="13248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3697F-8D4A-44A2-95C8-59F20EEE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10111</Characters>
  <Application>Microsoft Office Word</Application>
  <DocSecurity>8</DocSecurity>
  <Lines>84</Lines>
  <Paragraphs>23</Paragraphs>
  <ScaleCrop>false</ScaleCrop>
  <HeadingPairs>
    <vt:vector size="2" baseType="variant">
      <vt:variant>
        <vt:lpstr>Rubrik</vt:lpstr>
      </vt:variant>
      <vt:variant>
        <vt:i4>1</vt:i4>
      </vt:variant>
    </vt:vector>
  </HeadingPairs>
  <TitlesOfParts>
    <vt:vector size="1" baseType="lpstr">
      <vt:lpstr/>
    </vt:vector>
  </TitlesOfParts>
  <Company>JLL</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peli5</dc:creator>
  <dc:description>Löptext</dc:description>
  <cp:lastModifiedBy>Charlotte Funseth</cp:lastModifiedBy>
  <cp:revision>3</cp:revision>
  <cp:lastPrinted>2019-07-09T05:06:00Z</cp:lastPrinted>
  <dcterms:created xsi:type="dcterms:W3CDTF">2019-09-20T12:55:00Z</dcterms:created>
  <dcterms:modified xsi:type="dcterms:W3CDTF">2019-10-29T12:36:00Z</dcterms:modified>
</cp:coreProperties>
</file>