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-743" w:type="dxa"/>
        <w:tblLook w:val="04A0" w:firstRow="1" w:lastRow="0" w:firstColumn="1" w:lastColumn="0" w:noHBand="0" w:noVBand="1"/>
      </w:tblPr>
      <w:tblGrid>
        <w:gridCol w:w="7159"/>
        <w:gridCol w:w="3579"/>
        <w:gridCol w:w="3579"/>
      </w:tblGrid>
      <w:tr w:rsidR="00094F3D" w:rsidRPr="000055DE" w:rsidTr="00771513">
        <w:trPr>
          <w:trHeight w:hRule="exact" w:val="230"/>
        </w:trPr>
        <w:tc>
          <w:tcPr>
            <w:tcW w:w="7159" w:type="dxa"/>
          </w:tcPr>
          <w:p w:rsidR="00094F3D" w:rsidRPr="00771513" w:rsidRDefault="00B5093B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hAnsi="Georgia" w:cs="Tahoma"/>
                <w:sz w:val="20"/>
                <w:szCs w:val="20"/>
              </w:rPr>
              <w:t>Område Folktandvård</w:t>
            </w:r>
          </w:p>
        </w:tc>
        <w:tc>
          <w:tcPr>
            <w:tcW w:w="3579" w:type="dxa"/>
          </w:tcPr>
          <w:p w:rsidR="00094F3D" w:rsidRPr="00771513" w:rsidRDefault="00094F3D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:rsidR="00094F3D" w:rsidRPr="00771513" w:rsidRDefault="00083346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  <w:bookmarkStart w:id="1" w:name="TopLevelIdentifier"/>
            <w:r>
              <w:rPr>
                <w:rFonts w:ascii="Georgia" w:hAnsi="Georgia" w:cs="Tahoma"/>
                <w:sz w:val="20"/>
                <w:szCs w:val="20"/>
              </w:rPr>
              <w:t>RS/1950/2017</w:t>
            </w:r>
            <w:bookmarkEnd w:id="1"/>
          </w:p>
        </w:tc>
      </w:tr>
      <w:tr w:rsidR="00094F3D" w:rsidRPr="000055DE" w:rsidTr="00771513">
        <w:trPr>
          <w:trHeight w:hRule="exact" w:val="230"/>
        </w:trPr>
        <w:tc>
          <w:tcPr>
            <w:tcW w:w="7159" w:type="dxa"/>
          </w:tcPr>
          <w:p w:rsidR="00094F3D" w:rsidRPr="00771513" w:rsidRDefault="00B5093B" w:rsidP="00B5093B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Anneli Holm</w:t>
            </w:r>
          </w:p>
        </w:tc>
        <w:tc>
          <w:tcPr>
            <w:tcW w:w="3579" w:type="dxa"/>
          </w:tcPr>
          <w:p w:rsidR="00094F3D" w:rsidRPr="00771513" w:rsidRDefault="00094F3D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:rsidR="00094F3D" w:rsidRPr="00771513" w:rsidRDefault="00094F3D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F63C3C" w:rsidRPr="000055DE" w:rsidTr="00771513">
        <w:trPr>
          <w:trHeight w:hRule="exact" w:val="230"/>
        </w:trPr>
        <w:tc>
          <w:tcPr>
            <w:tcW w:w="7159" w:type="dxa"/>
          </w:tcPr>
          <w:p w:rsidR="00F63C3C" w:rsidRPr="00771513" w:rsidRDefault="00F63C3C" w:rsidP="00733D0B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  <w:bookmarkStart w:id="2" w:name="CreatorWorkPhone"/>
            <w:bookmarkEnd w:id="2"/>
          </w:p>
        </w:tc>
        <w:tc>
          <w:tcPr>
            <w:tcW w:w="7158" w:type="dxa"/>
            <w:gridSpan w:val="2"/>
          </w:tcPr>
          <w:p w:rsidR="00F63C3C" w:rsidRPr="00771513" w:rsidRDefault="00F63C3C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F63C3C" w:rsidRPr="000055DE" w:rsidTr="00771513">
        <w:trPr>
          <w:trHeight w:hRule="exact" w:val="230"/>
        </w:trPr>
        <w:tc>
          <w:tcPr>
            <w:tcW w:w="7159" w:type="dxa"/>
          </w:tcPr>
          <w:p w:rsidR="00F63C3C" w:rsidRPr="00771513" w:rsidRDefault="00F63C3C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7158" w:type="dxa"/>
            <w:gridSpan w:val="2"/>
          </w:tcPr>
          <w:p w:rsidR="00F63C3C" w:rsidRPr="00771513" w:rsidRDefault="00F63C3C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F2221" w:rsidRPr="000055DE" w:rsidTr="00771513">
        <w:trPr>
          <w:trHeight w:hRule="exact" w:val="230"/>
        </w:trPr>
        <w:tc>
          <w:tcPr>
            <w:tcW w:w="7159" w:type="dxa"/>
          </w:tcPr>
          <w:p w:rsidR="00CF2221" w:rsidRPr="00771513" w:rsidRDefault="00CF2221" w:rsidP="00771513">
            <w:pPr>
              <w:spacing w:line="230" w:lineRule="atLeast"/>
              <w:jc w:val="center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7158" w:type="dxa"/>
            <w:gridSpan w:val="2"/>
          </w:tcPr>
          <w:p w:rsidR="00CF2221" w:rsidRPr="00771513" w:rsidRDefault="00CF2221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F2221" w:rsidRPr="000055DE" w:rsidTr="00771513">
        <w:trPr>
          <w:trHeight w:hRule="exact" w:val="230"/>
        </w:trPr>
        <w:tc>
          <w:tcPr>
            <w:tcW w:w="7159" w:type="dxa"/>
          </w:tcPr>
          <w:p w:rsidR="00CF2221" w:rsidRPr="00771513" w:rsidRDefault="00CF2221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7158" w:type="dxa"/>
            <w:gridSpan w:val="2"/>
          </w:tcPr>
          <w:p w:rsidR="00CF2221" w:rsidRPr="00771513" w:rsidRDefault="00CF2221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CF2221" w:rsidRPr="000055DE" w:rsidTr="00771513">
        <w:trPr>
          <w:trHeight w:hRule="exact" w:val="230"/>
        </w:trPr>
        <w:tc>
          <w:tcPr>
            <w:tcW w:w="7159" w:type="dxa"/>
          </w:tcPr>
          <w:p w:rsidR="00CF2221" w:rsidRPr="00771513" w:rsidRDefault="00CF2221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7158" w:type="dxa"/>
            <w:gridSpan w:val="2"/>
          </w:tcPr>
          <w:p w:rsidR="00CF2221" w:rsidRPr="00771513" w:rsidRDefault="00CF2221" w:rsidP="006D2A3A">
            <w:pPr>
              <w:spacing w:line="230" w:lineRule="atLeast"/>
              <w:rPr>
                <w:rFonts w:ascii="Georgia" w:hAnsi="Georgia" w:cs="Tahoma"/>
                <w:sz w:val="20"/>
                <w:szCs w:val="20"/>
              </w:rPr>
            </w:pPr>
          </w:p>
        </w:tc>
      </w:tr>
    </w:tbl>
    <w:p w:rsidR="00BC5909" w:rsidRDefault="00BC5909">
      <w:pPr>
        <w:sectPr w:rsidR="00BC5909" w:rsidSect="00C477BB">
          <w:headerReference w:type="default" r:id="rId8"/>
          <w:footerReference w:type="default" r:id="rId9"/>
          <w:type w:val="continuous"/>
          <w:pgSz w:w="16838" w:h="11906" w:orient="landscape" w:code="9"/>
          <w:pgMar w:top="1264" w:right="1264" w:bottom="510" w:left="1928" w:header="709" w:footer="170" w:gutter="0"/>
          <w:cols w:space="708"/>
          <w:docGrid w:linePitch="360"/>
        </w:sectPr>
      </w:pPr>
    </w:p>
    <w:p w:rsidR="00A50391" w:rsidRDefault="00B5093B" w:rsidP="003877F8">
      <w:pPr>
        <w:pStyle w:val="Rubrik1"/>
        <w:ind w:left="-851"/>
      </w:pPr>
      <w:r>
        <w:t>Bevarande- och gallringsplan för Folktandvårdens journaler</w:t>
      </w:r>
    </w:p>
    <w:tbl>
      <w:tblPr>
        <w:tblW w:w="14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394"/>
        <w:gridCol w:w="4961"/>
      </w:tblGrid>
      <w:tr w:rsidR="00B5093B" w:rsidRPr="004E7A1D" w:rsidTr="00AF6D20">
        <w:trPr>
          <w:tblHeader/>
        </w:trPr>
        <w:tc>
          <w:tcPr>
            <w:tcW w:w="4821" w:type="dxa"/>
            <w:shd w:val="clear" w:color="auto" w:fill="auto"/>
          </w:tcPr>
          <w:p w:rsidR="00B5093B" w:rsidRPr="00AF6D20" w:rsidRDefault="00B5093B" w:rsidP="001720A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</w:pPr>
            <w:r w:rsidRPr="00AF6D20"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  <w:t>Handlingstyp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</w:pPr>
            <w:r w:rsidRPr="00AF6D20"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  <w:t>Gallringsfrist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</w:pPr>
            <w:r w:rsidRPr="00AF6D20">
              <w:rPr>
                <w:rFonts w:ascii="Arial" w:eastAsia="Times New Roman" w:hAnsi="Arial" w:cs="Arial"/>
                <w:b/>
                <w:sz w:val="28"/>
                <w:szCs w:val="20"/>
                <w:lang w:eastAsia="sv-SE"/>
              </w:rPr>
              <w:t>Anmärkning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Behandlingsplan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rPr>
          <w:trHeight w:val="70"/>
        </w:trPr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Bilddokumentation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Checklistor rörande behandling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Hälsodeklarationer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Journal inkommen från annan vårdgivare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Lab</w:t>
            </w:r>
            <w:r w:rsidR="000F0999">
              <w:rPr>
                <w:rFonts w:ascii="Georgia" w:hAnsi="Georgia"/>
                <w:sz w:val="20"/>
                <w:szCs w:val="20"/>
                <w:lang w:eastAsia="sv-SE"/>
              </w:rPr>
              <w:t>b</w:t>
            </w: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listor och svar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Laboratorieföljesedlar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Vid inaktualitet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eastAsia="Calibri" w:hAnsi="Georgia"/>
                <w:sz w:val="20"/>
                <w:szCs w:val="20"/>
              </w:rPr>
              <w:t>Tandtekniks följesedel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093B" w:rsidRPr="001720AF" w:rsidRDefault="000F0999" w:rsidP="001720A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Sätts in i </w:t>
            </w:r>
            <w:r w:rsidR="00B5093B" w:rsidRPr="001720AF">
              <w:rPr>
                <w:rFonts w:ascii="Georgia" w:hAnsi="Georgia"/>
                <w:sz w:val="20"/>
                <w:szCs w:val="20"/>
              </w:rPr>
              <w:t xml:space="preserve">avsedd pärm </w:t>
            </w:r>
          </w:p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>Kan gallras efter 10 år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93B" w:rsidRPr="001720AF" w:rsidRDefault="00A07151" w:rsidP="001720A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Alternativt sk</w:t>
            </w:r>
            <w:r w:rsidR="00B5093B" w:rsidRPr="001720AF">
              <w:rPr>
                <w:rFonts w:ascii="Georgia" w:hAnsi="Georgia"/>
                <w:sz w:val="20"/>
                <w:szCs w:val="20"/>
              </w:rPr>
              <w:t>anna och lägg som bilaga i journalen.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eastAsia="Calibri" w:hAnsi="Georgia"/>
                <w:sz w:val="20"/>
                <w:szCs w:val="20"/>
              </w:rPr>
              <w:t>Tandteknisk rekvisition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093B" w:rsidRPr="001720AF" w:rsidRDefault="000F0999" w:rsidP="001720A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Sätts in </w:t>
            </w:r>
            <w:r w:rsidR="00A07151">
              <w:rPr>
                <w:rFonts w:ascii="Georgia" w:hAnsi="Georgia"/>
                <w:sz w:val="20"/>
                <w:szCs w:val="20"/>
              </w:rPr>
              <w:t>i avsedd</w:t>
            </w:r>
            <w:r w:rsidR="00B5093B" w:rsidRPr="001720AF">
              <w:rPr>
                <w:rFonts w:ascii="Georgia" w:hAnsi="Georgia"/>
                <w:sz w:val="20"/>
                <w:szCs w:val="20"/>
              </w:rPr>
              <w:t xml:space="preserve"> pärm </w:t>
            </w:r>
          </w:p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>Kan gallras efter 10 år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93B" w:rsidRPr="001720AF" w:rsidRDefault="00B5093B" w:rsidP="00A07151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>Alternativt s</w:t>
            </w:r>
            <w:r w:rsidR="00A07151">
              <w:rPr>
                <w:rFonts w:ascii="Georgia" w:hAnsi="Georgia"/>
                <w:sz w:val="20"/>
                <w:szCs w:val="20"/>
              </w:rPr>
              <w:t>k</w:t>
            </w:r>
            <w:r w:rsidRPr="001720AF">
              <w:rPr>
                <w:rFonts w:ascii="Georgia" w:hAnsi="Georgia"/>
                <w:sz w:val="20"/>
                <w:szCs w:val="20"/>
              </w:rPr>
              <w:t>anna och lägg som bilaga i journalen.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Patientbrev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  <w:vAlign w:val="center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 xml:space="preserve">Brev </w:t>
            </w:r>
            <w:r w:rsidRPr="001720AF">
              <w:rPr>
                <w:rFonts w:ascii="Georgia" w:hAnsi="Georgia"/>
                <w:b/>
                <w:sz w:val="20"/>
                <w:szCs w:val="20"/>
              </w:rPr>
              <w:t>från</w:t>
            </w:r>
            <w:r w:rsidRPr="001720AF">
              <w:rPr>
                <w:rFonts w:ascii="Georgia" w:hAnsi="Georgia"/>
                <w:sz w:val="20"/>
                <w:szCs w:val="20"/>
              </w:rPr>
              <w:t xml:space="preserve"> patient om frågor eller klagomål på behandling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093B" w:rsidRPr="001720AF" w:rsidRDefault="00B5093B" w:rsidP="000F0999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>S</w:t>
            </w:r>
            <w:r w:rsidR="00A07151">
              <w:rPr>
                <w:rFonts w:ascii="Georgia" w:hAnsi="Georgia"/>
                <w:sz w:val="20"/>
                <w:szCs w:val="20"/>
              </w:rPr>
              <w:t>k</w:t>
            </w:r>
            <w:r w:rsidR="000F0999">
              <w:rPr>
                <w:rFonts w:ascii="Georgia" w:hAnsi="Georgia"/>
                <w:sz w:val="20"/>
                <w:szCs w:val="20"/>
              </w:rPr>
              <w:t xml:space="preserve">anna in dokumentet och bifoga </w:t>
            </w:r>
            <w:r w:rsidR="00A07151" w:rsidRPr="001720AF">
              <w:rPr>
                <w:rFonts w:ascii="Georgia" w:hAnsi="Georgia"/>
                <w:sz w:val="20"/>
                <w:szCs w:val="20"/>
              </w:rPr>
              <w:t>i patientjournalen</w:t>
            </w:r>
            <w:r w:rsidRPr="001720A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  <w:vAlign w:val="center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</w:rPr>
              <w:t xml:space="preserve">Brev </w:t>
            </w:r>
            <w:r w:rsidRPr="001720AF">
              <w:rPr>
                <w:rFonts w:ascii="Georgia" w:hAnsi="Georgia"/>
                <w:b/>
                <w:sz w:val="20"/>
                <w:szCs w:val="20"/>
              </w:rPr>
              <w:t xml:space="preserve">till </w:t>
            </w:r>
            <w:r w:rsidRPr="001720AF">
              <w:rPr>
                <w:rFonts w:ascii="Georgia" w:hAnsi="Georgia"/>
                <w:sz w:val="20"/>
                <w:szCs w:val="20"/>
              </w:rPr>
              <w:t>patient om frågor eller klagomål på behandling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093B" w:rsidRPr="001720AF" w:rsidRDefault="00A07151" w:rsidP="001720A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Sk</w:t>
            </w:r>
            <w:r w:rsidR="000F0999">
              <w:rPr>
                <w:rFonts w:ascii="Georgia" w:hAnsi="Georgia"/>
                <w:sz w:val="20"/>
                <w:szCs w:val="20"/>
              </w:rPr>
              <w:t xml:space="preserve">anna in dokumentet och bifoga </w:t>
            </w:r>
            <w:r>
              <w:rPr>
                <w:rFonts w:ascii="Georgia" w:hAnsi="Georgia"/>
                <w:sz w:val="20"/>
                <w:szCs w:val="20"/>
              </w:rPr>
              <w:t>i patientjournalen</w:t>
            </w:r>
            <w:r w:rsidR="00B5093B" w:rsidRPr="001720A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Patientjournal som inte går att härleda till patient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10 år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Får gallras om identifiering är omöjlig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Patientrelaterade intyg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Röntgenbilder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Röntgenutlåtande</w:t>
            </w:r>
          </w:p>
        </w:tc>
        <w:tc>
          <w:tcPr>
            <w:tcW w:w="4394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1720AF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1720AF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AF6D20">
              <w:rPr>
                <w:rFonts w:ascii="Georgia" w:hAnsi="Georgia"/>
                <w:sz w:val="20"/>
                <w:szCs w:val="20"/>
                <w:lang w:eastAsia="sv-SE"/>
              </w:rPr>
              <w:lastRenderedPageBreak/>
              <w:t>Skadeståndsärende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AF6D20">
              <w:rPr>
                <w:rFonts w:ascii="Georgia" w:hAnsi="Georgia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1720AF">
            <w:pPr>
              <w:rPr>
                <w:rFonts w:ascii="Georgia" w:hAnsi="Georgia"/>
                <w:sz w:val="20"/>
                <w:szCs w:val="20"/>
                <w:lang w:eastAsia="sv-SE"/>
              </w:rPr>
            </w:pPr>
            <w:r w:rsidRPr="00AF6D20">
              <w:rPr>
                <w:rFonts w:ascii="Georgia" w:hAnsi="Georgia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1720AF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Val/byte av tandvårdsmottagning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A0715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/>
                <w:sz w:val="20"/>
                <w:szCs w:val="20"/>
              </w:rPr>
              <w:t>S</w:t>
            </w:r>
            <w:r w:rsidR="00A07151">
              <w:rPr>
                <w:rFonts w:ascii="Georgia" w:eastAsia="Times New Roman" w:hAnsi="Georgia"/>
                <w:sz w:val="20"/>
                <w:szCs w:val="20"/>
              </w:rPr>
              <w:t>k</w:t>
            </w:r>
            <w:r w:rsidRPr="00AF6D20">
              <w:rPr>
                <w:rFonts w:ascii="Georgia" w:eastAsia="Times New Roman" w:hAnsi="Georgia"/>
                <w:sz w:val="20"/>
                <w:szCs w:val="20"/>
              </w:rPr>
              <w:t xml:space="preserve">anna in dokumentet </w:t>
            </w:r>
            <w:r w:rsidR="000F0999">
              <w:rPr>
                <w:rFonts w:ascii="Georgia" w:eastAsia="Times New Roman" w:hAnsi="Georgia"/>
                <w:sz w:val="20"/>
                <w:szCs w:val="20"/>
              </w:rPr>
              <w:t>och bifoga i patient</w:t>
            </w:r>
            <w:r w:rsidRPr="00AF6D20">
              <w:rPr>
                <w:rFonts w:ascii="Georgia" w:eastAsia="Times New Roman" w:hAnsi="Georgia"/>
                <w:sz w:val="20"/>
                <w:szCs w:val="20"/>
              </w:rPr>
              <w:t>journalen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1720AF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Skannade journalhandlingar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0F0999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Papper – gallras efter skanning </w:t>
            </w:r>
            <w:r w:rsidR="00B5093B"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och kontroll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Svar från annan vårdgivare </w:t>
            </w:r>
            <w:r w:rsidRPr="00AF6D20">
              <w:rPr>
                <w:rFonts w:ascii="Georgia" w:eastAsia="Times New Roman" w:hAnsi="Georgia" w:cs="Arial"/>
                <w:i/>
                <w:sz w:val="20"/>
                <w:szCs w:val="20"/>
                <w:lang w:eastAsia="sv-SE"/>
              </w:rPr>
              <w:t>än det egna</w:t>
            </w: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</w:t>
            </w:r>
            <w:r w:rsidRPr="00AF6D20">
              <w:rPr>
                <w:rFonts w:ascii="Georgia" w:eastAsia="Times New Roman" w:hAnsi="Georgia" w:cs="Arial"/>
                <w:i/>
                <w:sz w:val="20"/>
                <w:szCs w:val="20"/>
                <w:lang w:eastAsia="sv-SE"/>
              </w:rPr>
              <w:t>landstinget</w:t>
            </w: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som överförts till journal genom scanning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Papper </w:t>
            </w:r>
            <w:r w:rsid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- </w:t>
            </w: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gallras efter skanning och kontroll</w:t>
            </w:r>
          </w:p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Tandvårdsjournal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Tidböcker bokningar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3 år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Vårdintyg/ tandskadeintyg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patientjournalen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Avförda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3 år efter registrering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Om patienten inte kommit</w:t>
            </w:r>
          </w:p>
        </w:tc>
      </w:tr>
      <w:tr w:rsidR="00B5093B" w:rsidRPr="004E7A1D" w:rsidTr="00AF6D20">
        <w:trPr>
          <w:trHeight w:val="70"/>
        </w:trPr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Remiss och svar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</w:t>
            </w:r>
          </w:p>
        </w:tc>
      </w:tr>
      <w:tr w:rsidR="00AF6D20" w:rsidRPr="004E7A1D" w:rsidTr="00AB3347">
        <w:tc>
          <w:tcPr>
            <w:tcW w:w="14176" w:type="dxa"/>
            <w:gridSpan w:val="3"/>
            <w:shd w:val="clear" w:color="auto" w:fill="auto"/>
          </w:tcPr>
          <w:p w:rsidR="00AF6D20" w:rsidRPr="00AF6D20" w:rsidRDefault="00AF6D20" w:rsidP="000A1464">
            <w:pPr>
              <w:spacing w:line="240" w:lineRule="auto"/>
              <w:rPr>
                <w:rFonts w:ascii="Georgia" w:eastAsia="Times New Roman" w:hAnsi="Georgia" w:cs="Arial"/>
                <w:b/>
                <w:szCs w:val="20"/>
                <w:highlight w:val="yellow"/>
                <w:lang w:eastAsia="sv-SE"/>
              </w:rPr>
            </w:pPr>
            <w:r w:rsidRPr="00AF6D20">
              <w:rPr>
                <w:rFonts w:ascii="Georgia" w:eastAsia="Times New Roman" w:hAnsi="Georgia" w:cs="Arial"/>
                <w:b/>
                <w:sz w:val="22"/>
                <w:szCs w:val="20"/>
                <w:lang w:eastAsia="sv-SE"/>
              </w:rPr>
              <w:t>TANDTEKNISKA MODELLER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Arbetsmodeller och studiemodell vid större behandlingar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2 år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F6D2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Enligt patientdatalagen så är gipsmodeller ingen journalhandling och behöver därför inte sparas alls. Råd från socialstyrelsen är att </w:t>
            </w:r>
            <w:r w:rsidRPr="00AF6D20">
              <w:rPr>
                <w:rFonts w:ascii="Georgia" w:eastAsia="Calibri" w:hAnsi="Georgia"/>
                <w:sz w:val="20"/>
                <w:szCs w:val="20"/>
              </w:rPr>
              <w:t xml:space="preserve">större broarbeten </w:t>
            </w:r>
            <w:r w:rsidR="000F0999">
              <w:rPr>
                <w:rFonts w:ascii="Georgia" w:eastAsia="Calibri" w:hAnsi="Georgia"/>
                <w:sz w:val="20"/>
                <w:szCs w:val="20"/>
              </w:rPr>
              <w:t xml:space="preserve">med </w:t>
            </w:r>
            <w:r w:rsidRPr="00AF6D20">
              <w:rPr>
                <w:rFonts w:ascii="Georgia" w:eastAsia="Calibri" w:hAnsi="Georgia"/>
                <w:sz w:val="20"/>
                <w:szCs w:val="20"/>
              </w:rPr>
              <w:t xml:space="preserve">mer än 3 led och </w:t>
            </w:r>
            <w:r w:rsidRPr="00AF6D20">
              <w:rPr>
                <w:rFonts w:ascii="Georgia" w:eastAsia="Calibri" w:hAnsi="Georgia" w:cs="Arial"/>
                <w:color w:val="000000"/>
                <w:sz w:val="20"/>
                <w:szCs w:val="20"/>
                <w:lang w:val="en-US"/>
              </w:rPr>
              <w:t xml:space="preserve">studiemodeller vid ortodontibehandling bör sparas i </w:t>
            </w:r>
            <w:r w:rsidR="000F0999">
              <w:rPr>
                <w:rFonts w:ascii="Georgia" w:eastAsia="Calibri" w:hAnsi="Georgia" w:cs="Arial"/>
                <w:color w:val="000000"/>
                <w:sz w:val="20"/>
                <w:szCs w:val="20"/>
                <w:lang w:val="en-US"/>
              </w:rPr>
              <w:t>2 år efter avslutad behandling</w:t>
            </w:r>
          </w:p>
          <w:p w:rsidR="00B5093B" w:rsidRPr="00AF6D20" w:rsidRDefault="00B5093B" w:rsidP="000A1464">
            <w:pPr>
              <w:rPr>
                <w:rFonts w:ascii="Georgia" w:eastAsia="Calibri" w:hAnsi="Georgia"/>
                <w:b/>
                <w:sz w:val="20"/>
                <w:szCs w:val="20"/>
              </w:rPr>
            </w:pPr>
          </w:p>
          <w:p w:rsidR="00B5093B" w:rsidRPr="00AF6D20" w:rsidRDefault="00B5093B" w:rsidP="000A1464">
            <w:pPr>
              <w:autoSpaceDE w:val="0"/>
              <w:autoSpaceDN w:val="0"/>
              <w:adjustRightInd w:val="0"/>
              <w:spacing w:line="240" w:lineRule="auto"/>
              <w:rPr>
                <w:rFonts w:ascii="Georgia" w:eastAsia="Times New Roman" w:hAnsi="Georgia" w:cs="Arial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AF6D20" w:rsidRDefault="00B5093B" w:rsidP="00AF6D2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Studiemodell för dokumentation inför större behandlingar</w:t>
            </w:r>
          </w:p>
        </w:tc>
        <w:tc>
          <w:tcPr>
            <w:tcW w:w="4394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AF6D2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10 år</w:t>
            </w:r>
          </w:p>
        </w:tc>
        <w:tc>
          <w:tcPr>
            <w:tcW w:w="4961" w:type="dxa"/>
            <w:shd w:val="clear" w:color="auto" w:fill="auto"/>
          </w:tcPr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F6D2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Om man tagit en modell för att visa att ett tillstånd enligt TLV:s regelverk är uppfyllt</w:t>
            </w:r>
          </w:p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F6D2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ska dessa modeller eller </w:t>
            </w:r>
            <w:r w:rsidR="00A2286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foto av modellen sparas i tio å, eftersom F</w:t>
            </w:r>
            <w:r w:rsidRPr="00AF6D2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örsäkringskassan kan göra efterhandskontroller </w:t>
            </w:r>
            <w:r w:rsidR="00A2286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i </w:t>
            </w:r>
            <w:r w:rsidRPr="00AF6D2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upp till 10 år efter avslutad behandling.</w:t>
            </w:r>
          </w:p>
          <w:p w:rsidR="00B5093B" w:rsidRPr="00AF6D20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0F0999" w:rsidRPr="004E7A1D" w:rsidTr="00CD384D">
        <w:tc>
          <w:tcPr>
            <w:tcW w:w="14176" w:type="dxa"/>
            <w:gridSpan w:val="3"/>
            <w:shd w:val="clear" w:color="auto" w:fill="auto"/>
          </w:tcPr>
          <w:p w:rsidR="000F0999" w:rsidRPr="000F0999" w:rsidRDefault="000F0999" w:rsidP="000A1464">
            <w:pPr>
              <w:spacing w:line="240" w:lineRule="auto"/>
              <w:rPr>
                <w:rFonts w:ascii="Georgia" w:eastAsia="Times New Roman" w:hAnsi="Georgia" w:cs="Arial"/>
                <w:b/>
                <w:lang w:eastAsia="sv-SE"/>
              </w:rPr>
            </w:pPr>
            <w:r w:rsidRPr="000F0999">
              <w:rPr>
                <w:rFonts w:ascii="Georgia" w:eastAsia="Times New Roman" w:hAnsi="Georgia" w:cs="Arial"/>
                <w:b/>
                <w:sz w:val="22"/>
                <w:lang w:eastAsia="sv-SE"/>
              </w:rPr>
              <w:t>AVVIKELSEHANTERING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A2286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Lex Maria</w:t>
            </w:r>
            <w:r w:rsidR="00A22866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-f</w:t>
            </w: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all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Diarieförs med hjälp av vårdutvecklare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Anmälan till IVO 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Diarieförs med hjälp av vårdutvecklare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Patientskador enligt patientskadelagen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Diarieförs med hjälp av vårdutvecklare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Läkemedelsskador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Diarieförs med hjälp av vårdutvecklare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Patient/förtroendenämnd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Diarieförs med hjälp av vårdutvecklare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Beslut från LÖF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A0715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Calibri" w:hAnsi="Georgia"/>
                <w:sz w:val="20"/>
                <w:szCs w:val="20"/>
              </w:rPr>
              <w:t>S</w:t>
            </w:r>
            <w:r w:rsidR="00A07151">
              <w:rPr>
                <w:rFonts w:ascii="Georgia" w:eastAsia="Calibri" w:hAnsi="Georgia"/>
                <w:sz w:val="20"/>
                <w:szCs w:val="20"/>
              </w:rPr>
              <w:t>k</w:t>
            </w:r>
            <w:r w:rsidRPr="000F0999">
              <w:rPr>
                <w:rFonts w:ascii="Georgia" w:eastAsia="Calibri" w:hAnsi="Georgia"/>
                <w:sz w:val="20"/>
                <w:szCs w:val="20"/>
              </w:rPr>
              <w:t xml:space="preserve">anna in dokumentet och bifoga i </w:t>
            </w:r>
            <w:r w:rsidR="00A22866">
              <w:rPr>
                <w:rFonts w:ascii="Georgia" w:eastAsia="Calibri" w:hAnsi="Georgia"/>
                <w:sz w:val="20"/>
                <w:szCs w:val="20"/>
              </w:rPr>
              <w:t>patient</w:t>
            </w:r>
            <w:r w:rsidRPr="000F0999">
              <w:rPr>
                <w:rFonts w:ascii="Georgia" w:eastAsia="Calibri" w:hAnsi="Georgia"/>
                <w:sz w:val="20"/>
                <w:szCs w:val="20"/>
              </w:rPr>
              <w:t>journalen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A2286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Calibri" w:hAnsi="Georgia"/>
                <w:sz w:val="20"/>
                <w:szCs w:val="20"/>
              </w:rPr>
              <w:t>Alternativt s</w:t>
            </w:r>
            <w:r w:rsidR="00A22866">
              <w:rPr>
                <w:rFonts w:ascii="Georgia" w:eastAsia="Calibri" w:hAnsi="Georgia"/>
                <w:sz w:val="20"/>
                <w:szCs w:val="20"/>
              </w:rPr>
              <w:t>k</w:t>
            </w:r>
            <w:r w:rsidRPr="000F0999">
              <w:rPr>
                <w:rFonts w:ascii="Georgia" w:eastAsia="Calibri" w:hAnsi="Georgia"/>
                <w:sz w:val="20"/>
                <w:szCs w:val="20"/>
              </w:rPr>
              <w:t>anna o</w:t>
            </w:r>
            <w:r w:rsidR="00A22866">
              <w:rPr>
                <w:rFonts w:ascii="Georgia" w:eastAsia="Calibri" w:hAnsi="Georgia"/>
                <w:sz w:val="20"/>
                <w:szCs w:val="20"/>
              </w:rPr>
              <w:t xml:space="preserve">ch lägg som bilaga i journalen, </w:t>
            </w:r>
            <w:r w:rsidRPr="000F0999">
              <w:rPr>
                <w:rFonts w:ascii="Georgia" w:eastAsia="Calibri" w:hAnsi="Georgia"/>
                <w:sz w:val="20"/>
                <w:szCs w:val="20"/>
              </w:rPr>
              <w:t>kan gallras efter 10 år</w:t>
            </w:r>
          </w:p>
        </w:tc>
      </w:tr>
      <w:tr w:rsidR="000F0999" w:rsidRPr="004E7A1D" w:rsidTr="001E355B">
        <w:tc>
          <w:tcPr>
            <w:tcW w:w="14176" w:type="dxa"/>
            <w:gridSpan w:val="3"/>
            <w:shd w:val="clear" w:color="auto" w:fill="auto"/>
          </w:tcPr>
          <w:p w:rsidR="000F0999" w:rsidRPr="000F0999" w:rsidRDefault="000F0999" w:rsidP="000A1464">
            <w:pPr>
              <w:spacing w:line="240" w:lineRule="auto"/>
              <w:rPr>
                <w:rFonts w:ascii="Georgia" w:eastAsia="Times New Roman" w:hAnsi="Georgia" w:cs="Arial"/>
                <w:b/>
                <w:lang w:eastAsia="sv-SE"/>
              </w:rPr>
            </w:pPr>
            <w:r w:rsidRPr="000F0999">
              <w:rPr>
                <w:rFonts w:ascii="Georgia" w:eastAsia="Times New Roman" w:hAnsi="Georgia" w:cs="Arial"/>
                <w:b/>
                <w:sz w:val="22"/>
                <w:lang w:eastAsia="sv-SE"/>
              </w:rPr>
              <w:t>INSTRUMENTVÅRD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A22866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Processförlopp/</w:t>
            </w:r>
            <w:r w:rsidR="00B5093B"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disk-autoklavkurvor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3 år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Instrumentlistor, operation, sterila gods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Bevaras</w:t>
            </w:r>
          </w:p>
        </w:tc>
        <w:tc>
          <w:tcPr>
            <w:tcW w:w="4961" w:type="dxa"/>
            <w:shd w:val="clear" w:color="auto" w:fill="auto"/>
          </w:tcPr>
          <w:p w:rsidR="00B5093B" w:rsidRPr="000F0999" w:rsidRDefault="00A07151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patientjournal, batch</w:t>
            </w:r>
            <w:r w:rsidR="00B5093B"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nr för spårbarhet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Granskningsloggar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10 år</w:t>
            </w:r>
          </w:p>
        </w:tc>
        <w:tc>
          <w:tcPr>
            <w:tcW w:w="4961" w:type="dxa"/>
            <w:shd w:val="clear" w:color="auto" w:fill="auto"/>
          </w:tcPr>
          <w:p w:rsidR="000F0999" w:rsidRPr="000F0999" w:rsidRDefault="000F0999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0F0999" w:rsidRPr="004E7A1D" w:rsidTr="00BB563E">
        <w:tc>
          <w:tcPr>
            <w:tcW w:w="14176" w:type="dxa"/>
            <w:gridSpan w:val="3"/>
            <w:shd w:val="clear" w:color="auto" w:fill="auto"/>
          </w:tcPr>
          <w:p w:rsidR="000F0999" w:rsidRPr="000F0999" w:rsidRDefault="000F0999" w:rsidP="000A1464">
            <w:pPr>
              <w:spacing w:line="240" w:lineRule="auto"/>
              <w:rPr>
                <w:rFonts w:ascii="Georgia" w:eastAsia="Times New Roman" w:hAnsi="Georgia" w:cs="Arial"/>
                <w:b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b/>
                <w:sz w:val="22"/>
                <w:szCs w:val="20"/>
                <w:lang w:eastAsia="sv-SE"/>
              </w:rPr>
              <w:lastRenderedPageBreak/>
              <w:t>INKOMMANDE JOURNALDOKUMENT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Begäran om efterhandskontroll från Försäkringskassan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Papper gallras efter kontroll och granskning</w:t>
            </w:r>
          </w:p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patientjournal. Skanna in.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Beslut från försäkringsbolag om ersättning efter tandskada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Papper gallras efter skanning och kontroll</w:t>
            </w:r>
          </w:p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Ingår i patientjournal. Skanna in.</w:t>
            </w:r>
          </w:p>
        </w:tc>
      </w:tr>
      <w:tr w:rsidR="00B5093B" w:rsidRPr="004E7A1D" w:rsidTr="00AF6D20"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Beslut från tandvårdsenheten efter förhandsbedömning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Papper gallras efter skanning och kontroll</w:t>
            </w:r>
          </w:p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Ingår i patientjournal. Skanna in </w:t>
            </w:r>
          </w:p>
        </w:tc>
      </w:tr>
      <w:tr w:rsidR="00B5093B" w:rsidRPr="004E7A1D" w:rsidTr="00AF6D20">
        <w:trPr>
          <w:trHeight w:val="1351"/>
        </w:trPr>
        <w:tc>
          <w:tcPr>
            <w:tcW w:w="4821" w:type="dxa"/>
            <w:shd w:val="clear" w:color="auto" w:fill="auto"/>
          </w:tcPr>
          <w:p w:rsidR="00B5093B" w:rsidRPr="000F0999" w:rsidRDefault="00B5093B" w:rsidP="000F0999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Beslut om ersättning eller ej för definierade åtgärder från Försäkringskassa </w:t>
            </w:r>
          </w:p>
        </w:tc>
        <w:tc>
          <w:tcPr>
            <w:tcW w:w="4394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Papper gallras efter skanning och kontroll</w:t>
            </w:r>
          </w:p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4961" w:type="dxa"/>
            <w:shd w:val="clear" w:color="auto" w:fill="auto"/>
          </w:tcPr>
          <w:p w:rsidR="00B5093B" w:rsidRPr="000F0999" w:rsidRDefault="00B5093B" w:rsidP="000A1464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0F0999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Ingår i patientjournal. Skanna in </w:t>
            </w:r>
          </w:p>
        </w:tc>
      </w:tr>
    </w:tbl>
    <w:p w:rsidR="00B5093B" w:rsidRPr="000F0999" w:rsidRDefault="00B5093B" w:rsidP="000F0999">
      <w:pPr>
        <w:spacing w:line="240" w:lineRule="auto"/>
        <w:ind w:left="-993"/>
        <w:rPr>
          <w:rFonts w:ascii="Georgia" w:eastAsia="Times New Roman" w:hAnsi="Georgia" w:cs="Arial"/>
          <w:b/>
          <w:sz w:val="20"/>
          <w:szCs w:val="20"/>
          <w:lang w:eastAsia="sv-SE"/>
        </w:rPr>
      </w:pPr>
      <w:r w:rsidRPr="000F0999">
        <w:rPr>
          <w:rFonts w:ascii="Georgia" w:eastAsia="Times New Roman" w:hAnsi="Georgia" w:cs="Arial"/>
          <w:b/>
          <w:sz w:val="20"/>
          <w:szCs w:val="20"/>
          <w:lang w:eastAsia="sv-SE"/>
        </w:rPr>
        <w:t>Skanning:</w:t>
      </w:r>
    </w:p>
    <w:p w:rsidR="00B5093B" w:rsidRPr="000F0999" w:rsidRDefault="00B5093B" w:rsidP="000F0999">
      <w:pPr>
        <w:spacing w:line="240" w:lineRule="auto"/>
        <w:ind w:left="-993"/>
        <w:rPr>
          <w:rFonts w:ascii="Georgia" w:eastAsia="Times New Roman" w:hAnsi="Georgia" w:cs="Arial"/>
          <w:sz w:val="20"/>
          <w:szCs w:val="20"/>
          <w:lang w:eastAsia="sv-SE"/>
        </w:rPr>
      </w:pPr>
      <w:r w:rsidRPr="000F0999">
        <w:rPr>
          <w:rFonts w:ascii="Georgia" w:eastAsia="Times New Roman" w:hAnsi="Georgia" w:cs="Arial"/>
          <w:sz w:val="20"/>
          <w:szCs w:val="20"/>
          <w:lang w:eastAsia="sv-SE"/>
        </w:rPr>
        <w:t>I patientdatalagen (SFS 2008:355) föreskrivs att journalhandlingarna ska bevaras i minst 10 år.</w:t>
      </w:r>
    </w:p>
    <w:p w:rsidR="00B5093B" w:rsidRPr="000F0999" w:rsidRDefault="00B5093B" w:rsidP="000F0999">
      <w:pPr>
        <w:spacing w:line="240" w:lineRule="auto"/>
        <w:ind w:left="-993"/>
        <w:rPr>
          <w:rFonts w:ascii="Georgia" w:eastAsia="Times New Roman" w:hAnsi="Georgia" w:cs="Arial"/>
          <w:sz w:val="20"/>
          <w:szCs w:val="20"/>
          <w:lang w:eastAsia="sv-SE"/>
        </w:rPr>
      </w:pPr>
    </w:p>
    <w:p w:rsidR="00B5093B" w:rsidRPr="000F0999" w:rsidRDefault="00B5093B" w:rsidP="000F0999">
      <w:pPr>
        <w:spacing w:line="240" w:lineRule="auto"/>
        <w:ind w:left="-993"/>
        <w:rPr>
          <w:rFonts w:ascii="Georgia" w:eastAsia="Times New Roman" w:hAnsi="Georgia" w:cs="Arial"/>
          <w:sz w:val="20"/>
          <w:szCs w:val="20"/>
          <w:lang w:eastAsia="sv-SE"/>
        </w:rPr>
      </w:pPr>
      <w:r w:rsidRPr="000F0999">
        <w:rPr>
          <w:rFonts w:ascii="Georgia" w:eastAsia="Times New Roman" w:hAnsi="Georgia" w:cs="Arial"/>
          <w:sz w:val="20"/>
          <w:szCs w:val="20"/>
          <w:lang w:eastAsia="sv-SE"/>
        </w:rPr>
        <w:t>Socialstyrelsen har förklarat att patientjournallagens krav på bevarande av journalhandlingar uppfylls genom att en likalydande, fullständig, digital (</w:t>
      </w:r>
      <w:r w:rsidR="00A07151" w:rsidRPr="000F0999">
        <w:rPr>
          <w:rFonts w:ascii="Georgia" w:eastAsia="Times New Roman" w:hAnsi="Georgia" w:cs="Arial"/>
          <w:sz w:val="20"/>
          <w:szCs w:val="20"/>
          <w:lang w:eastAsia="sv-SE"/>
        </w:rPr>
        <w:t>d.v.s.</w:t>
      </w:r>
      <w:r w:rsidRPr="000F0999">
        <w:rPr>
          <w:rFonts w:ascii="Georgia" w:eastAsia="Times New Roman" w:hAnsi="Georgia" w:cs="Arial"/>
          <w:sz w:val="20"/>
          <w:szCs w:val="20"/>
          <w:lang w:eastAsia="sv-SE"/>
        </w:rPr>
        <w:t xml:space="preserve"> skannad) kopia av handlingen sparas i den elektroniska patientjournalen. Den skannade handlingen ska uppfylla kraven på arkivbeständighet vilket innebär att den inte får gå att ändra i efterhand.</w:t>
      </w:r>
    </w:p>
    <w:p w:rsidR="00771513" w:rsidRDefault="00B5093B" w:rsidP="00A22866">
      <w:pPr>
        <w:spacing w:line="240" w:lineRule="auto"/>
        <w:ind w:left="-993"/>
        <w:rPr>
          <w:rFonts w:ascii="Georgia" w:eastAsia="Times New Roman" w:hAnsi="Georgia" w:cs="Arial"/>
          <w:sz w:val="20"/>
          <w:szCs w:val="20"/>
          <w:lang w:eastAsia="sv-SE"/>
        </w:rPr>
      </w:pPr>
      <w:r w:rsidRPr="000F0999">
        <w:rPr>
          <w:rFonts w:ascii="Georgia" w:eastAsia="Times New Roman" w:hAnsi="Georgia" w:cs="Arial"/>
          <w:sz w:val="20"/>
          <w:szCs w:val="20"/>
          <w:lang w:eastAsia="sv-SE"/>
        </w:rPr>
        <w:t>Innan skanning sker måste originalhandlingarna sorteras och kategoriseras på ett sätt så att det skannade materialet inte förvanskas eller att information går förlorad vid skanning och efterföljande gallring av originalen.</w:t>
      </w:r>
    </w:p>
    <w:p w:rsidR="00A22866" w:rsidRDefault="00A22866" w:rsidP="00A22866">
      <w:pPr>
        <w:spacing w:line="240" w:lineRule="auto"/>
        <w:ind w:left="-993"/>
        <w:rPr>
          <w:rFonts w:ascii="Georgia" w:eastAsia="Times New Roman" w:hAnsi="Georgia" w:cs="Arial"/>
          <w:sz w:val="20"/>
          <w:szCs w:val="20"/>
          <w:lang w:eastAsia="sv-SE"/>
        </w:rPr>
      </w:pPr>
    </w:p>
    <w:p w:rsidR="00A22866" w:rsidRPr="00A22866" w:rsidRDefault="00A22866" w:rsidP="00A22866">
      <w:pPr>
        <w:spacing w:line="240" w:lineRule="auto"/>
        <w:ind w:left="-993"/>
        <w:rPr>
          <w:rFonts w:ascii="Georgia" w:eastAsia="Times New Roman" w:hAnsi="Georgia" w:cs="Arial"/>
          <w:b/>
          <w:sz w:val="20"/>
          <w:szCs w:val="20"/>
          <w:lang w:eastAsia="sv-SE"/>
        </w:rPr>
      </w:pPr>
    </w:p>
    <w:p w:rsidR="00A22866" w:rsidRPr="00A22866" w:rsidRDefault="00A22866" w:rsidP="00A22866">
      <w:pPr>
        <w:spacing w:line="240" w:lineRule="auto"/>
        <w:ind w:left="-993"/>
        <w:rPr>
          <w:rFonts w:ascii="Georgia" w:eastAsia="Times New Roman" w:hAnsi="Georgia" w:cs="Arial"/>
          <w:b/>
          <w:sz w:val="20"/>
          <w:szCs w:val="20"/>
          <w:lang w:eastAsia="sv-SE"/>
        </w:rPr>
      </w:pPr>
      <w:r w:rsidRPr="00A22866">
        <w:rPr>
          <w:rFonts w:ascii="Georgia" w:eastAsia="Times New Roman" w:hAnsi="Georgia" w:cs="Arial"/>
          <w:b/>
          <w:sz w:val="20"/>
          <w:szCs w:val="20"/>
          <w:lang w:eastAsia="sv-SE"/>
        </w:rPr>
        <w:t>Bevarande- och gallringsplanen beslutad på dele</w:t>
      </w:r>
      <w:r w:rsidR="004764D1">
        <w:rPr>
          <w:rFonts w:ascii="Georgia" w:eastAsia="Times New Roman" w:hAnsi="Georgia" w:cs="Arial"/>
          <w:b/>
          <w:sz w:val="20"/>
          <w:szCs w:val="20"/>
          <w:lang w:eastAsia="sv-SE"/>
        </w:rPr>
        <w:t>gation av regionstabschef 2017-09-11</w:t>
      </w:r>
    </w:p>
    <w:sectPr w:rsidR="00A22866" w:rsidRPr="00A22866" w:rsidSect="00C477BB">
      <w:headerReference w:type="default" r:id="rId10"/>
      <w:footerReference w:type="default" r:id="rId11"/>
      <w:type w:val="continuous"/>
      <w:pgSz w:w="16838" w:h="11906" w:orient="landscape" w:code="9"/>
      <w:pgMar w:top="1264" w:right="1264" w:bottom="510" w:left="1928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7">
      <wne:macro wne:macroName="TEMPLATEPROJECT.NEWMACROS.SIDHUVUD_SID2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1C" w:rsidRDefault="0008611C" w:rsidP="00093707">
      <w:r>
        <w:separator/>
      </w:r>
    </w:p>
  </w:endnote>
  <w:endnote w:type="continuationSeparator" w:id="0">
    <w:p w:rsidR="0008611C" w:rsidRDefault="0008611C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743" w:type="dxa"/>
      <w:tblLook w:val="04A0" w:firstRow="1" w:lastRow="0" w:firstColumn="1" w:lastColumn="0" w:noHBand="0" w:noVBand="1"/>
    </w:tblPr>
    <w:tblGrid>
      <w:gridCol w:w="14317"/>
    </w:tblGrid>
    <w:tr w:rsidR="0008611C" w:rsidTr="0098046F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08611C" w:rsidRPr="0075571B" w:rsidRDefault="0008611C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08611C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08611C" w:rsidRPr="005E03DA" w:rsidRDefault="0008611C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1C" w:rsidRDefault="0008611C" w:rsidP="00093707">
      <w:r>
        <w:separator/>
      </w:r>
    </w:p>
  </w:footnote>
  <w:footnote w:type="continuationSeparator" w:id="0">
    <w:p w:rsidR="0008611C" w:rsidRDefault="0008611C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16" w:type="dxa"/>
      <w:tblLook w:val="04A0" w:firstRow="1" w:lastRow="0" w:firstColumn="1" w:lastColumn="0" w:noHBand="0" w:noVBand="1"/>
    </w:tblPr>
    <w:tblGrid>
      <w:gridCol w:w="6261"/>
      <w:gridCol w:w="6096"/>
      <w:gridCol w:w="1359"/>
    </w:tblGrid>
    <w:tr w:rsidR="0008611C" w:rsidRPr="00AA4426" w:rsidTr="00771513">
      <w:trPr>
        <w:trHeight w:val="482"/>
      </w:trPr>
      <w:tc>
        <w:tcPr>
          <w:tcW w:w="6261" w:type="dxa"/>
          <w:vMerge w:val="restart"/>
        </w:tcPr>
        <w:p w:rsidR="0008611C" w:rsidRPr="00AA4426" w:rsidRDefault="00A01192">
          <w:pPr>
            <w:rPr>
              <w:rFonts w:ascii="Tahoma" w:hAnsi="Tahoma"/>
            </w:rPr>
          </w:pPr>
          <w:r>
            <w:rPr>
              <w:rFonts w:ascii="Tahoma" w:hAnsi="Tahoma"/>
              <w:sz w:val="22"/>
            </w:rPr>
            <w:t xml:space="preserve"> </w:t>
          </w:r>
          <w:bookmarkStart w:id="3" w:name="instanceName"/>
          <w:bookmarkEnd w:id="3"/>
        </w:p>
      </w:tc>
      <w:tc>
        <w:tcPr>
          <w:tcW w:w="6096" w:type="dxa"/>
        </w:tcPr>
        <w:p w:rsidR="0031755D" w:rsidRPr="00A01192" w:rsidRDefault="00A01192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 </w:t>
          </w:r>
        </w:p>
      </w:tc>
      <w:tc>
        <w:tcPr>
          <w:tcW w:w="1359" w:type="dxa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8611C" w:rsidRPr="00AA4426" w:rsidRDefault="008C7D61" w:rsidP="00F63C3C">
              <w:pPr>
                <w:jc w:val="right"/>
                <w:rPr>
                  <w:sz w:val="18"/>
                  <w:szCs w:val="18"/>
                </w:rPr>
              </w:pP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begin"/>
              </w:r>
              <w:r w:rsidR="0008611C" w:rsidRPr="00771513">
                <w:rPr>
                  <w:rFonts w:ascii="Arial" w:hAnsi="Arial" w:cs="Arial"/>
                  <w:sz w:val="13"/>
                  <w:szCs w:val="13"/>
                </w:rPr>
                <w:instrText xml:space="preserve"> PAGE </w:instrText>
              </w: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separate"/>
              </w:r>
              <w:r w:rsidR="00083346">
                <w:rPr>
                  <w:rFonts w:ascii="Arial" w:hAnsi="Arial" w:cs="Arial"/>
                  <w:noProof/>
                  <w:sz w:val="13"/>
                  <w:szCs w:val="13"/>
                </w:rPr>
                <w:t>1</w:t>
              </w: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end"/>
              </w:r>
              <w:r w:rsidR="0008611C" w:rsidRPr="00771513">
                <w:rPr>
                  <w:rFonts w:ascii="Arial" w:hAnsi="Arial" w:cs="Arial"/>
                  <w:sz w:val="13"/>
                  <w:szCs w:val="13"/>
                </w:rPr>
                <w:t>(</w:t>
              </w: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begin"/>
              </w:r>
              <w:r w:rsidR="0008611C" w:rsidRPr="00771513">
                <w:rPr>
                  <w:rFonts w:ascii="Arial" w:hAnsi="Arial" w:cs="Arial"/>
                  <w:sz w:val="13"/>
                  <w:szCs w:val="13"/>
                </w:rPr>
                <w:instrText xml:space="preserve"> NUMPAGES  </w:instrText>
              </w: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separate"/>
              </w:r>
              <w:r w:rsidR="00083346">
                <w:rPr>
                  <w:rFonts w:ascii="Arial" w:hAnsi="Arial" w:cs="Arial"/>
                  <w:noProof/>
                  <w:sz w:val="13"/>
                  <w:szCs w:val="13"/>
                </w:rPr>
                <w:t>3</w:t>
              </w:r>
              <w:r w:rsidRPr="00771513">
                <w:rPr>
                  <w:rFonts w:ascii="Arial" w:hAnsi="Arial" w:cs="Arial"/>
                  <w:sz w:val="13"/>
                  <w:szCs w:val="13"/>
                </w:rPr>
                <w:fldChar w:fldCharType="end"/>
              </w:r>
              <w:r w:rsidR="0008611C" w:rsidRPr="00771513">
                <w:rPr>
                  <w:rFonts w:ascii="Arial" w:hAnsi="Arial" w:cs="Arial"/>
                  <w:sz w:val="13"/>
                  <w:szCs w:val="13"/>
                </w:rPr>
                <w:t>)</w:t>
              </w:r>
            </w:p>
          </w:sdtContent>
        </w:sdt>
      </w:tc>
    </w:tr>
    <w:tr w:rsidR="0008611C" w:rsidRPr="00AA4426" w:rsidTr="00771513">
      <w:trPr>
        <w:trHeight w:val="482"/>
      </w:trPr>
      <w:tc>
        <w:tcPr>
          <w:tcW w:w="6261" w:type="dxa"/>
          <w:vMerge/>
        </w:tcPr>
        <w:p w:rsidR="0008611C" w:rsidRPr="00AA4426" w:rsidRDefault="0008611C">
          <w:pPr>
            <w:rPr>
              <w:rFonts w:ascii="Tahoma" w:hAnsi="Tahoma"/>
            </w:rPr>
          </w:pPr>
        </w:p>
      </w:tc>
      <w:tc>
        <w:tcPr>
          <w:tcW w:w="6096" w:type="dxa"/>
        </w:tcPr>
        <w:p w:rsidR="0008611C" w:rsidRPr="00AA4426" w:rsidRDefault="0008611C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1359" w:type="dxa"/>
        </w:tcPr>
        <w:p w:rsidR="0008611C" w:rsidRPr="00A01192" w:rsidRDefault="00A01192">
          <w:pPr>
            <w:rPr>
              <w:rFonts w:ascii="Tahoma" w:hAnsi="Tahoma"/>
            </w:rPr>
          </w:pPr>
          <w:r>
            <w:rPr>
              <w:rFonts w:ascii="Tahoma" w:hAnsi="Tahoma"/>
              <w:sz w:val="22"/>
            </w:rPr>
            <w:t xml:space="preserve"> </w:t>
          </w:r>
        </w:p>
      </w:tc>
    </w:tr>
  </w:tbl>
  <w:p w:rsidR="0008611C" w:rsidRPr="00FA1361" w:rsidRDefault="001458BD" w:rsidP="0031755D">
    <w:pPr>
      <w:spacing w:line="240" w:lineRule="auto"/>
      <w:rPr>
        <w:rFonts w:ascii="Tahoma" w:hAnsi="Tahoma" w:cs="Tahoma"/>
        <w:sz w:val="18"/>
        <w:szCs w:val="18"/>
      </w:rPr>
    </w:pPr>
    <w:r>
      <w:rPr>
        <w:rFonts w:ascii="Tahoma" w:hAnsi="Tahoma"/>
        <w:noProof/>
        <w:sz w:val="22"/>
        <w:lang w:eastAsia="sv-SE"/>
      </w:rPr>
      <w:drawing>
        <wp:anchor distT="0" distB="0" distL="114300" distR="114300" simplePos="0" relativeHeight="251658752" behindDoc="1" locked="0" layoutInCell="1" allowOverlap="1" wp14:anchorId="75842F71" wp14:editId="6B1CF297">
          <wp:simplePos x="0" y="0"/>
          <wp:positionH relativeFrom="column">
            <wp:posOffset>-561340</wp:posOffset>
          </wp:positionH>
          <wp:positionV relativeFrom="paragraph">
            <wp:posOffset>-621030</wp:posOffset>
          </wp:positionV>
          <wp:extent cx="1809750" cy="587375"/>
          <wp:effectExtent l="0" t="0" r="0" b="0"/>
          <wp:wrapNone/>
          <wp:docPr id="2" name="Bildobjekt 7" descr="Region JH besku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JH beskur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743" w:type="dxa"/>
      <w:tblLook w:val="04A0" w:firstRow="1" w:lastRow="0" w:firstColumn="1" w:lastColumn="0" w:noHBand="0" w:noVBand="1"/>
    </w:tblPr>
    <w:tblGrid>
      <w:gridCol w:w="6856"/>
      <w:gridCol w:w="5646"/>
      <w:gridCol w:w="2524"/>
    </w:tblGrid>
    <w:tr w:rsidR="0008611C" w:rsidRPr="00732FF6" w:rsidTr="00C477BB">
      <w:tc>
        <w:tcPr>
          <w:tcW w:w="6856" w:type="dxa"/>
          <w:vMerge w:val="restart"/>
        </w:tcPr>
        <w:p w:rsidR="0008611C" w:rsidRPr="00732FF6" w:rsidRDefault="005F3F4E" w:rsidP="006519E2">
          <w:pPr>
            <w:rPr>
              <w:rFonts w:ascii="Tahoma" w:hAnsi="Tahoma"/>
              <w:sz w:val="18"/>
              <w:szCs w:val="18"/>
            </w:rPr>
          </w:pPr>
          <w:r w:rsidRPr="005F3F4E">
            <w:rPr>
              <w:rFonts w:ascii="Tahoma" w:hAnsi="Tahoma"/>
              <w:noProof/>
              <w:sz w:val="18"/>
              <w:szCs w:val="18"/>
              <w:lang w:eastAsia="sv-SE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-72118</wp:posOffset>
                </wp:positionH>
                <wp:positionV relativeFrom="paragraph">
                  <wp:posOffset>-9344</wp:posOffset>
                </wp:positionV>
                <wp:extent cx="1809750" cy="587829"/>
                <wp:effectExtent l="19050" t="0" r="0" b="0"/>
                <wp:wrapNone/>
                <wp:docPr id="11" name="Bildobjekt 11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87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6" w:type="dxa"/>
        </w:tcPr>
        <w:p w:rsidR="0008611C" w:rsidRPr="00732FF6" w:rsidRDefault="008C7D61" w:rsidP="00AF6D20">
          <w:pPr>
            <w:rPr>
              <w:rFonts w:ascii="Tahoma" w:hAnsi="Tahoma"/>
              <w:sz w:val="18"/>
              <w:szCs w:val="18"/>
            </w:rPr>
          </w:pPr>
          <w:r w:rsidRPr="00732FF6">
            <w:rPr>
              <w:rFonts w:ascii="Tahoma" w:hAnsi="Tahoma"/>
              <w:sz w:val="18"/>
              <w:szCs w:val="18"/>
            </w:rPr>
            <w:fldChar w:fldCharType="begin"/>
          </w:r>
          <w:r w:rsidR="0008611C" w:rsidRPr="00732FF6">
            <w:rPr>
              <w:rFonts w:ascii="Tahoma" w:hAnsi="Tahoma"/>
              <w:sz w:val="18"/>
              <w:szCs w:val="18"/>
            </w:rPr>
            <w:instrText xml:space="preserve"> CREATEDATE  \@ "yyyy-MM-dd" </w:instrText>
          </w:r>
          <w:r w:rsidRPr="00732FF6">
            <w:rPr>
              <w:rFonts w:ascii="Tahoma" w:hAnsi="Tahoma"/>
              <w:sz w:val="18"/>
              <w:szCs w:val="18"/>
            </w:rPr>
            <w:fldChar w:fldCharType="end"/>
          </w:r>
        </w:p>
      </w:tc>
      <w:tc>
        <w:tcPr>
          <w:tcW w:w="2524" w:type="dxa"/>
        </w:tcPr>
        <w:sdt>
          <w:sdtPr>
            <w:rPr>
              <w:sz w:val="18"/>
              <w:szCs w:val="18"/>
            </w:rPr>
            <w:id w:val="696206349"/>
            <w:docPartObj>
              <w:docPartGallery w:val="Page Numbers (Top of Page)"/>
              <w:docPartUnique/>
            </w:docPartObj>
          </w:sdtPr>
          <w:sdtEndPr/>
          <w:sdtContent>
            <w:p w:rsidR="0008611C" w:rsidRPr="00732FF6" w:rsidRDefault="008C7D61" w:rsidP="00F63C3C">
              <w:pPr>
                <w:jc w:val="right"/>
                <w:rPr>
                  <w:sz w:val="18"/>
                  <w:szCs w:val="18"/>
                </w:rPr>
              </w:pP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083346">
                <w:rPr>
                  <w:rFonts w:ascii="Tahoma" w:hAnsi="Tahoma"/>
                  <w:noProof/>
                  <w:sz w:val="18"/>
                  <w:szCs w:val="18"/>
                </w:rPr>
                <w:t>3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(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083346">
                <w:rPr>
                  <w:rFonts w:ascii="Tahoma" w:hAnsi="Tahoma"/>
                  <w:noProof/>
                  <w:sz w:val="18"/>
                  <w:szCs w:val="18"/>
                </w:rPr>
                <w:t>3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08611C" w:rsidRPr="00732FF6" w:rsidTr="00C477BB">
      <w:tc>
        <w:tcPr>
          <w:tcW w:w="6856" w:type="dxa"/>
          <w:vMerge/>
        </w:tcPr>
        <w:p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5646" w:type="dxa"/>
        </w:tcPr>
        <w:p w:rsidR="0008611C" w:rsidRPr="00732FF6" w:rsidRDefault="0008611C" w:rsidP="00227168">
          <w:pPr>
            <w:rPr>
              <w:rFonts w:ascii="Tahoma" w:hAnsi="Tahoma"/>
              <w:vanish/>
              <w:color w:val="FF0000"/>
              <w:sz w:val="18"/>
              <w:szCs w:val="18"/>
            </w:rPr>
          </w:pPr>
        </w:p>
      </w:tc>
      <w:tc>
        <w:tcPr>
          <w:tcW w:w="2524" w:type="dxa"/>
        </w:tcPr>
        <w:p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</w:tr>
  </w:tbl>
  <w:p w:rsidR="0008611C" w:rsidRDefault="000861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E1"/>
    <w:rsid w:val="000055DE"/>
    <w:rsid w:val="00020983"/>
    <w:rsid w:val="00040550"/>
    <w:rsid w:val="00047706"/>
    <w:rsid w:val="00063EF2"/>
    <w:rsid w:val="0008113F"/>
    <w:rsid w:val="00083346"/>
    <w:rsid w:val="0008611C"/>
    <w:rsid w:val="00093707"/>
    <w:rsid w:val="00094F3D"/>
    <w:rsid w:val="000962DD"/>
    <w:rsid w:val="000A235E"/>
    <w:rsid w:val="000B19F4"/>
    <w:rsid w:val="000D0397"/>
    <w:rsid w:val="000E2FAB"/>
    <w:rsid w:val="000F0999"/>
    <w:rsid w:val="000F1AFC"/>
    <w:rsid w:val="0010560C"/>
    <w:rsid w:val="00127D3A"/>
    <w:rsid w:val="00132452"/>
    <w:rsid w:val="001458BD"/>
    <w:rsid w:val="00165828"/>
    <w:rsid w:val="001720AF"/>
    <w:rsid w:val="00180D3C"/>
    <w:rsid w:val="0019247E"/>
    <w:rsid w:val="001A05E0"/>
    <w:rsid w:val="001A55EC"/>
    <w:rsid w:val="001A562A"/>
    <w:rsid w:val="001A6C26"/>
    <w:rsid w:val="001B1561"/>
    <w:rsid w:val="001B1FEA"/>
    <w:rsid w:val="001C4AEC"/>
    <w:rsid w:val="001C5E85"/>
    <w:rsid w:val="001C5E88"/>
    <w:rsid w:val="001F0D4D"/>
    <w:rsid w:val="001F10C8"/>
    <w:rsid w:val="00200C05"/>
    <w:rsid w:val="002144B9"/>
    <w:rsid w:val="00222AC4"/>
    <w:rsid w:val="00227168"/>
    <w:rsid w:val="002325FA"/>
    <w:rsid w:val="00234417"/>
    <w:rsid w:val="002413AA"/>
    <w:rsid w:val="00246621"/>
    <w:rsid w:val="00254DC3"/>
    <w:rsid w:val="00260FD8"/>
    <w:rsid w:val="0027199A"/>
    <w:rsid w:val="00285039"/>
    <w:rsid w:val="002876EC"/>
    <w:rsid w:val="002A5C52"/>
    <w:rsid w:val="002B0A12"/>
    <w:rsid w:val="002C2A49"/>
    <w:rsid w:val="002D785A"/>
    <w:rsid w:val="0030200C"/>
    <w:rsid w:val="0031755D"/>
    <w:rsid w:val="003225D5"/>
    <w:rsid w:val="00353F6F"/>
    <w:rsid w:val="003554E2"/>
    <w:rsid w:val="003877F8"/>
    <w:rsid w:val="00396081"/>
    <w:rsid w:val="00396B64"/>
    <w:rsid w:val="003A0CEB"/>
    <w:rsid w:val="003A47B7"/>
    <w:rsid w:val="003B386D"/>
    <w:rsid w:val="003B4F58"/>
    <w:rsid w:val="003E1EE1"/>
    <w:rsid w:val="003F3D9D"/>
    <w:rsid w:val="00403E5E"/>
    <w:rsid w:val="00416730"/>
    <w:rsid w:val="0043723A"/>
    <w:rsid w:val="00440C16"/>
    <w:rsid w:val="00460DAC"/>
    <w:rsid w:val="00460DE8"/>
    <w:rsid w:val="00466177"/>
    <w:rsid w:val="00474C80"/>
    <w:rsid w:val="004764D1"/>
    <w:rsid w:val="004858FE"/>
    <w:rsid w:val="004C18A6"/>
    <w:rsid w:val="004D031F"/>
    <w:rsid w:val="004D18B9"/>
    <w:rsid w:val="004D3EBB"/>
    <w:rsid w:val="004D7EE2"/>
    <w:rsid w:val="004E1A58"/>
    <w:rsid w:val="004E275D"/>
    <w:rsid w:val="004F60F9"/>
    <w:rsid w:val="00506065"/>
    <w:rsid w:val="005344CD"/>
    <w:rsid w:val="00540DDC"/>
    <w:rsid w:val="00553618"/>
    <w:rsid w:val="00566FD8"/>
    <w:rsid w:val="00575529"/>
    <w:rsid w:val="005E03DA"/>
    <w:rsid w:val="005F3F4E"/>
    <w:rsid w:val="005F53AA"/>
    <w:rsid w:val="006325BA"/>
    <w:rsid w:val="006339E7"/>
    <w:rsid w:val="006519E2"/>
    <w:rsid w:val="00677211"/>
    <w:rsid w:val="00693830"/>
    <w:rsid w:val="006A14F4"/>
    <w:rsid w:val="006B6B2F"/>
    <w:rsid w:val="006D2A3A"/>
    <w:rsid w:val="006E19E7"/>
    <w:rsid w:val="006F0F31"/>
    <w:rsid w:val="006F31DA"/>
    <w:rsid w:val="00710BF7"/>
    <w:rsid w:val="00732FF6"/>
    <w:rsid w:val="007333CC"/>
    <w:rsid w:val="00733D0B"/>
    <w:rsid w:val="0075571B"/>
    <w:rsid w:val="007676B1"/>
    <w:rsid w:val="00771513"/>
    <w:rsid w:val="0079571F"/>
    <w:rsid w:val="007C3917"/>
    <w:rsid w:val="00804931"/>
    <w:rsid w:val="00842EC4"/>
    <w:rsid w:val="00871F2D"/>
    <w:rsid w:val="00881B92"/>
    <w:rsid w:val="00881C21"/>
    <w:rsid w:val="00885F92"/>
    <w:rsid w:val="008A7149"/>
    <w:rsid w:val="008C40CF"/>
    <w:rsid w:val="008C7D61"/>
    <w:rsid w:val="008D1CAC"/>
    <w:rsid w:val="008F2A46"/>
    <w:rsid w:val="008F4265"/>
    <w:rsid w:val="008F7126"/>
    <w:rsid w:val="00902233"/>
    <w:rsid w:val="00907D32"/>
    <w:rsid w:val="009148EB"/>
    <w:rsid w:val="00936A66"/>
    <w:rsid w:val="00944182"/>
    <w:rsid w:val="00945F9C"/>
    <w:rsid w:val="00950ACD"/>
    <w:rsid w:val="0098046F"/>
    <w:rsid w:val="00983EE1"/>
    <w:rsid w:val="009A622E"/>
    <w:rsid w:val="009B3CF0"/>
    <w:rsid w:val="009B3F11"/>
    <w:rsid w:val="009D6603"/>
    <w:rsid w:val="009E097A"/>
    <w:rsid w:val="009F15B2"/>
    <w:rsid w:val="00A01192"/>
    <w:rsid w:val="00A07151"/>
    <w:rsid w:val="00A100BA"/>
    <w:rsid w:val="00A21C36"/>
    <w:rsid w:val="00A22866"/>
    <w:rsid w:val="00A33C15"/>
    <w:rsid w:val="00A50391"/>
    <w:rsid w:val="00A53D26"/>
    <w:rsid w:val="00A60C00"/>
    <w:rsid w:val="00A6167C"/>
    <w:rsid w:val="00A74D0B"/>
    <w:rsid w:val="00A8355E"/>
    <w:rsid w:val="00A934E9"/>
    <w:rsid w:val="00AA4426"/>
    <w:rsid w:val="00AA7B4B"/>
    <w:rsid w:val="00AB7724"/>
    <w:rsid w:val="00AC6CD3"/>
    <w:rsid w:val="00AF6D20"/>
    <w:rsid w:val="00B13D6F"/>
    <w:rsid w:val="00B1695E"/>
    <w:rsid w:val="00B255CF"/>
    <w:rsid w:val="00B43E63"/>
    <w:rsid w:val="00B504EA"/>
    <w:rsid w:val="00B5093B"/>
    <w:rsid w:val="00B73C52"/>
    <w:rsid w:val="00B77555"/>
    <w:rsid w:val="00B879E2"/>
    <w:rsid w:val="00B9010C"/>
    <w:rsid w:val="00B9048A"/>
    <w:rsid w:val="00B9086B"/>
    <w:rsid w:val="00BB105F"/>
    <w:rsid w:val="00BB10F8"/>
    <w:rsid w:val="00BB11DD"/>
    <w:rsid w:val="00BB1951"/>
    <w:rsid w:val="00BB3A59"/>
    <w:rsid w:val="00BC3D17"/>
    <w:rsid w:val="00BC42BF"/>
    <w:rsid w:val="00BC5909"/>
    <w:rsid w:val="00BC59F8"/>
    <w:rsid w:val="00BD2AE6"/>
    <w:rsid w:val="00BD6860"/>
    <w:rsid w:val="00BE4CAA"/>
    <w:rsid w:val="00BE5D90"/>
    <w:rsid w:val="00BF4151"/>
    <w:rsid w:val="00C077D9"/>
    <w:rsid w:val="00C17E34"/>
    <w:rsid w:val="00C22C84"/>
    <w:rsid w:val="00C2693B"/>
    <w:rsid w:val="00C35423"/>
    <w:rsid w:val="00C36738"/>
    <w:rsid w:val="00C420EA"/>
    <w:rsid w:val="00C477BB"/>
    <w:rsid w:val="00C6276E"/>
    <w:rsid w:val="00C6624E"/>
    <w:rsid w:val="00C849CA"/>
    <w:rsid w:val="00C92B32"/>
    <w:rsid w:val="00C93523"/>
    <w:rsid w:val="00CB0AD4"/>
    <w:rsid w:val="00CB3AD9"/>
    <w:rsid w:val="00CF2221"/>
    <w:rsid w:val="00CF3BC6"/>
    <w:rsid w:val="00D00121"/>
    <w:rsid w:val="00D23756"/>
    <w:rsid w:val="00D328C3"/>
    <w:rsid w:val="00D70F42"/>
    <w:rsid w:val="00D7377C"/>
    <w:rsid w:val="00D742E9"/>
    <w:rsid w:val="00D74FBE"/>
    <w:rsid w:val="00D77ABC"/>
    <w:rsid w:val="00D91825"/>
    <w:rsid w:val="00DD7807"/>
    <w:rsid w:val="00DE0DAC"/>
    <w:rsid w:val="00E10316"/>
    <w:rsid w:val="00E11ADB"/>
    <w:rsid w:val="00E123B0"/>
    <w:rsid w:val="00E92A5D"/>
    <w:rsid w:val="00EA6E3F"/>
    <w:rsid w:val="00ED1AC7"/>
    <w:rsid w:val="00EE43CD"/>
    <w:rsid w:val="00F00A62"/>
    <w:rsid w:val="00F05AF1"/>
    <w:rsid w:val="00F1490C"/>
    <w:rsid w:val="00F23939"/>
    <w:rsid w:val="00F30DA4"/>
    <w:rsid w:val="00F36871"/>
    <w:rsid w:val="00F455CD"/>
    <w:rsid w:val="00F47922"/>
    <w:rsid w:val="00F612A4"/>
    <w:rsid w:val="00F63C3C"/>
    <w:rsid w:val="00F67BE0"/>
    <w:rsid w:val="00F86EB6"/>
    <w:rsid w:val="00F94466"/>
    <w:rsid w:val="00FA1361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22A9AA53-CF97-4F89-A793-4D5E89B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936A66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D3C2D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D3C2D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D3C2D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FD3C2D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3C2D"/>
    <w:rPr>
      <w:rFonts w:ascii="Arial Narrow" w:eastAsiaTheme="majorEastAsia" w:hAnsi="Arial Narrow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D3C2D"/>
    <w:rPr>
      <w:rFonts w:ascii="Arial Narrow" w:eastAsiaTheme="majorEastAsia" w:hAnsi="Arial Narrow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3C2D"/>
    <w:rPr>
      <w:rFonts w:ascii="Arial Narrow" w:eastAsiaTheme="majorEastAsia" w:hAnsi="Arial Narrow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D3C2D"/>
    <w:rPr>
      <w:rFonts w:ascii="Arial Narrow" w:eastAsiaTheme="majorEastAsia" w:hAnsi="Arial Narrow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1230-25B2-47F5-9FFB-7DA50CA9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BA1AC3B.dotm</Template>
  <TotalTime>25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adminguli1</dc:creator>
  <cp:keywords/>
  <dc:description>Löptext</dc:description>
  <cp:lastModifiedBy>man_user</cp:lastModifiedBy>
  <cp:revision>20</cp:revision>
  <dcterms:created xsi:type="dcterms:W3CDTF">2009-09-01T06:50:00Z</dcterms:created>
  <dcterms:modified xsi:type="dcterms:W3CDTF">2017-09-21T09:56:00Z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666555446</vt:i4>
  </property>
  <property fmtid="{D5CDD505-2E9C-101B-9397-08002B2CF9AE}" pid="3" name="_NewReviewCycle">
    <vt:lpwstr/>
  </property>
  <property fmtid="{D5CDD505-2E9C-101B-9397-08002B2CF9AE}" pid="4" name="_EmailSubject">
    <vt:lpwstr>Platina-mallar</vt:lpwstr>
  </property>
  <property fmtid="{D5CDD505-2E9C-101B-9397-08002B2CF9AE}" pid="5" name="_AuthorEmail">
    <vt:lpwstr>Gun.Lind@tietoenator.com</vt:lpwstr>
  </property>
  <property fmtid="{D5CDD505-2E9C-101B-9397-08002B2CF9AE}" pid="6" name="_AuthorEmailDisplayName">
    <vt:lpwstr>Lind Gun</vt:lpwstr>
  </property>
  <property fmtid="{D5CDD505-2E9C-101B-9397-08002B2CF9AE}" pid="7" name="_ReviewingToolsShownOnce">
    <vt:lpwstr/>
  </property>
</Properties>
</file>