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4" w:type="dxa"/>
        <w:tblInd w:w="-34" w:type="dxa"/>
        <w:tblLook w:val="04A0" w:firstRow="1" w:lastRow="0" w:firstColumn="1" w:lastColumn="0" w:noHBand="0" w:noVBand="1"/>
      </w:tblPr>
      <w:tblGrid>
        <w:gridCol w:w="4111"/>
        <w:gridCol w:w="2410"/>
        <w:gridCol w:w="1843"/>
      </w:tblGrid>
      <w:tr w:rsidR="00094F3D" w:rsidRPr="00BC4FCE" w:rsidTr="00916330">
        <w:trPr>
          <w:trHeight w:hRule="exact" w:val="230"/>
        </w:trPr>
        <w:tc>
          <w:tcPr>
            <w:tcW w:w="4111" w:type="dxa"/>
          </w:tcPr>
          <w:p w:rsidR="00094F3D" w:rsidRPr="00BC4FCE" w:rsidRDefault="0087579D" w:rsidP="00BB4CF3">
            <w:r>
              <w:t>Samordningskansliet</w:t>
            </w:r>
          </w:p>
        </w:tc>
        <w:tc>
          <w:tcPr>
            <w:tcW w:w="2410" w:type="dxa"/>
          </w:tcPr>
          <w:p w:rsidR="00094F3D" w:rsidRPr="00BC4FCE" w:rsidRDefault="00D3778F" w:rsidP="00BB4CF3">
            <w:bookmarkStart w:id="0" w:name="ShortCreatedDate"/>
            <w:r>
              <w:t>2018-06-25</w:t>
            </w:r>
            <w:bookmarkEnd w:id="0"/>
          </w:p>
        </w:tc>
        <w:tc>
          <w:tcPr>
            <w:tcW w:w="1843" w:type="dxa"/>
          </w:tcPr>
          <w:p w:rsidR="00094F3D" w:rsidRPr="00BC4FCE" w:rsidRDefault="00094F3D" w:rsidP="00BB4CF3">
            <w:bookmarkStart w:id="1" w:name="TopLevelIdentifier"/>
            <w:bookmarkEnd w:id="1"/>
          </w:p>
        </w:tc>
      </w:tr>
      <w:tr w:rsidR="00094F3D" w:rsidRPr="00BC4FCE" w:rsidTr="00916330">
        <w:trPr>
          <w:trHeight w:hRule="exact" w:val="230"/>
        </w:trPr>
        <w:tc>
          <w:tcPr>
            <w:tcW w:w="4111" w:type="dxa"/>
          </w:tcPr>
          <w:p w:rsidR="00094F3D" w:rsidRPr="00BC4FCE" w:rsidRDefault="00D3778F" w:rsidP="00BB4CF3">
            <w:bookmarkStart w:id="2" w:name="CreatedByPersonAlias"/>
            <w:r>
              <w:t>Jenny Olsson</w:t>
            </w:r>
            <w:bookmarkEnd w:id="2"/>
          </w:p>
        </w:tc>
        <w:tc>
          <w:tcPr>
            <w:tcW w:w="2410" w:type="dxa"/>
          </w:tcPr>
          <w:p w:rsidR="00094F3D" w:rsidRPr="00BC4FCE" w:rsidRDefault="00094F3D" w:rsidP="00BB4CF3"/>
        </w:tc>
        <w:tc>
          <w:tcPr>
            <w:tcW w:w="1843" w:type="dxa"/>
          </w:tcPr>
          <w:p w:rsidR="00094F3D" w:rsidRPr="00BC4FCE" w:rsidRDefault="00094F3D" w:rsidP="00BB4CF3"/>
        </w:tc>
      </w:tr>
      <w:tr w:rsidR="00F63C3C" w:rsidRPr="00BC4FCE" w:rsidTr="00916330">
        <w:trPr>
          <w:trHeight w:hRule="exact" w:val="230"/>
        </w:trPr>
        <w:tc>
          <w:tcPr>
            <w:tcW w:w="4111" w:type="dxa"/>
          </w:tcPr>
          <w:p w:rsidR="00F63C3C" w:rsidRPr="00BC4FCE" w:rsidRDefault="00E123B0" w:rsidP="00BB4CF3">
            <w:r w:rsidRPr="00BC4FCE">
              <w:t xml:space="preserve">Tfn: </w:t>
            </w:r>
            <w:bookmarkStart w:id="3" w:name="CreatorWorkPhone"/>
            <w:bookmarkEnd w:id="3"/>
            <w:r w:rsidR="0087579D">
              <w:t>063- 14 76 36</w:t>
            </w:r>
            <w:r w:rsidR="00FD057D" w:rsidRPr="00BC4FCE">
              <w:tab/>
            </w:r>
          </w:p>
        </w:tc>
        <w:tc>
          <w:tcPr>
            <w:tcW w:w="4253" w:type="dxa"/>
            <w:gridSpan w:val="2"/>
          </w:tcPr>
          <w:p w:rsidR="00F63C3C" w:rsidRPr="00BC4FCE" w:rsidRDefault="00F63C3C" w:rsidP="00BB4CF3"/>
        </w:tc>
      </w:tr>
      <w:tr w:rsidR="00F63C3C" w:rsidRPr="00BC4FCE" w:rsidTr="00916330">
        <w:trPr>
          <w:trHeight w:hRule="exact" w:val="230"/>
        </w:trPr>
        <w:tc>
          <w:tcPr>
            <w:tcW w:w="4111" w:type="dxa"/>
          </w:tcPr>
          <w:p w:rsidR="00F63C3C" w:rsidRPr="00BC4FCE" w:rsidRDefault="00E123B0" w:rsidP="00BB4CF3">
            <w:r w:rsidRPr="00BC4FCE">
              <w:t>E-post:</w:t>
            </w:r>
            <w:r w:rsidR="000962DD" w:rsidRPr="00BC4FCE">
              <w:t xml:space="preserve"> </w:t>
            </w:r>
            <w:bookmarkStart w:id="4" w:name="CreatorWorkMail"/>
            <w:r w:rsidR="00D3778F">
              <w:t>jenny.olsson@regionjh.se</w:t>
            </w:r>
            <w:bookmarkEnd w:id="4"/>
          </w:p>
        </w:tc>
        <w:tc>
          <w:tcPr>
            <w:tcW w:w="4253" w:type="dxa"/>
            <w:gridSpan w:val="2"/>
          </w:tcPr>
          <w:p w:rsidR="00F63C3C" w:rsidRPr="00BC4FCE" w:rsidRDefault="00F63C3C" w:rsidP="00BB4CF3"/>
        </w:tc>
      </w:tr>
    </w:tbl>
    <w:p w:rsidR="00BC5909" w:rsidRDefault="00BC5909">
      <w:pPr>
        <w:sectPr w:rsidR="00BC5909" w:rsidSect="003560B6">
          <w:headerReference w:type="default" r:id="rId8"/>
          <w:footerReference w:type="default" r:id="rId9"/>
          <w:type w:val="continuous"/>
          <w:pgSz w:w="11906" w:h="16838"/>
          <w:pgMar w:top="1230" w:right="1871" w:bottom="1701" w:left="1871" w:header="567" w:footer="170" w:gutter="0"/>
          <w:cols w:space="708"/>
          <w:docGrid w:linePitch="360"/>
        </w:sectPr>
      </w:pPr>
    </w:p>
    <w:p w:rsidR="00A50391" w:rsidRDefault="00A50391"/>
    <w:p w:rsidR="00521765" w:rsidRPr="00C1085C" w:rsidRDefault="00D3778F" w:rsidP="00C1085C">
      <w:pPr>
        <w:pStyle w:val="Rubrik1"/>
      </w:pPr>
      <w:bookmarkStart w:id="6" w:name="title"/>
      <w:r>
        <w:t>Rutin vid utlämnand</w:t>
      </w:r>
      <w:bookmarkStart w:id="7" w:name="_GoBack"/>
      <w:bookmarkEnd w:id="7"/>
      <w:r>
        <w:t>e av uppgifter om enskilds hälsotillstånd i ärenden om ställföreträdarskap</w:t>
      </w:r>
      <w:bookmarkEnd w:id="6"/>
    </w:p>
    <w:p w:rsidR="00D15937" w:rsidRDefault="00D15937" w:rsidP="00D742E9"/>
    <w:p w:rsidR="0087579D" w:rsidRDefault="0087579D" w:rsidP="0087579D">
      <w:pPr>
        <w:pStyle w:val="Brdtext-RJH"/>
        <w:rPr>
          <w:rFonts w:ascii="Times New Roman" w:hAnsi="Times New Roman" w:cs="Times New Roman"/>
          <w:sz w:val="24"/>
          <w:szCs w:val="24"/>
          <w:lang w:val="sv-SE"/>
        </w:rPr>
      </w:pPr>
      <w:r>
        <w:rPr>
          <w:rFonts w:ascii="Times New Roman" w:hAnsi="Times New Roman" w:cs="Times New Roman"/>
          <w:sz w:val="24"/>
          <w:szCs w:val="24"/>
          <w:lang w:val="sv-SE"/>
        </w:rPr>
        <w:t>I ärenden som avser anordnande, jämkning eller upphörande av ställföreträdarskap, ska vårdgivaren lämna uppgifter om den enskildes hälsotillstånd, på begäran av</w:t>
      </w:r>
    </w:p>
    <w:p w:rsidR="0087579D" w:rsidRDefault="0087579D" w:rsidP="0087579D">
      <w:pPr>
        <w:pStyle w:val="Brdtext-RJH"/>
        <w:numPr>
          <w:ilvl w:val="0"/>
          <w:numId w:val="5"/>
        </w:numPr>
        <w:rPr>
          <w:rFonts w:ascii="Times New Roman" w:hAnsi="Times New Roman" w:cs="Times New Roman"/>
          <w:sz w:val="24"/>
          <w:szCs w:val="24"/>
          <w:u w:val="single"/>
          <w:lang w:val="sv-SE"/>
        </w:rPr>
      </w:pPr>
      <w:r>
        <w:rPr>
          <w:rFonts w:ascii="Times New Roman" w:hAnsi="Times New Roman" w:cs="Times New Roman"/>
          <w:sz w:val="24"/>
          <w:szCs w:val="24"/>
          <w:lang w:val="sv-SE"/>
        </w:rPr>
        <w:t>domstol, eller</w:t>
      </w:r>
    </w:p>
    <w:p w:rsidR="0087579D" w:rsidRDefault="0087579D" w:rsidP="0087579D">
      <w:pPr>
        <w:pStyle w:val="Brdtext-RJH"/>
        <w:numPr>
          <w:ilvl w:val="0"/>
          <w:numId w:val="5"/>
        </w:numPr>
        <w:rPr>
          <w:rFonts w:ascii="Times New Roman" w:hAnsi="Times New Roman" w:cs="Times New Roman"/>
          <w:sz w:val="24"/>
          <w:szCs w:val="24"/>
          <w:u w:val="single"/>
          <w:lang w:val="sv-SE"/>
        </w:rPr>
      </w:pPr>
      <w:r>
        <w:rPr>
          <w:rFonts w:ascii="Times New Roman" w:hAnsi="Times New Roman" w:cs="Times New Roman"/>
          <w:sz w:val="24"/>
          <w:szCs w:val="24"/>
          <w:lang w:val="sv-SE"/>
        </w:rPr>
        <w:t>Överförmyndarnämnden i en kommun</w:t>
      </w:r>
    </w:p>
    <w:p w:rsidR="0087579D" w:rsidRDefault="0087579D" w:rsidP="0087579D">
      <w:pPr>
        <w:pStyle w:val="Brdtext-RJH"/>
        <w:rPr>
          <w:rFonts w:ascii="Times New Roman" w:hAnsi="Times New Roman" w:cs="Times New Roman"/>
          <w:sz w:val="24"/>
          <w:szCs w:val="24"/>
          <w:u w:val="single"/>
          <w:lang w:val="sv-SE"/>
        </w:rPr>
      </w:pPr>
    </w:p>
    <w:p w:rsidR="0087579D" w:rsidRDefault="0087579D" w:rsidP="0087579D">
      <w:pPr>
        <w:pStyle w:val="Brdtext-RJH"/>
        <w:rPr>
          <w:rFonts w:ascii="Times New Roman" w:hAnsi="Times New Roman" w:cs="Times New Roman"/>
          <w:sz w:val="24"/>
          <w:szCs w:val="24"/>
          <w:lang w:val="sv-SE"/>
        </w:rPr>
      </w:pPr>
      <w:r>
        <w:rPr>
          <w:rFonts w:ascii="Times New Roman" w:hAnsi="Times New Roman" w:cs="Times New Roman"/>
          <w:sz w:val="24"/>
          <w:szCs w:val="24"/>
          <w:lang w:val="sv-SE"/>
        </w:rPr>
        <w:t xml:space="preserve">(11 kap. </w:t>
      </w:r>
      <w:proofErr w:type="gramStart"/>
      <w:r>
        <w:rPr>
          <w:rFonts w:ascii="Times New Roman" w:hAnsi="Times New Roman" w:cs="Times New Roman"/>
          <w:sz w:val="24"/>
          <w:szCs w:val="24"/>
          <w:lang w:val="sv-SE"/>
        </w:rPr>
        <w:t>16-17</w:t>
      </w:r>
      <w:proofErr w:type="gramEnd"/>
      <w:r>
        <w:rPr>
          <w:rFonts w:ascii="Times New Roman" w:hAnsi="Times New Roman" w:cs="Times New Roman"/>
          <w:sz w:val="24"/>
          <w:szCs w:val="24"/>
          <w:lang w:val="sv-SE"/>
        </w:rPr>
        <w:t xml:space="preserve"> a §§ föräldrabalken och prop. 2013/2014:225 s. 46).</w:t>
      </w:r>
    </w:p>
    <w:p w:rsidR="0087579D" w:rsidRDefault="0087579D" w:rsidP="0087579D">
      <w:pPr>
        <w:pStyle w:val="Brdtext-RJH"/>
        <w:rPr>
          <w:rFonts w:ascii="Times New Roman" w:hAnsi="Times New Roman" w:cs="Times New Roman"/>
          <w:sz w:val="24"/>
          <w:szCs w:val="24"/>
          <w:lang w:val="sv-SE"/>
        </w:rPr>
      </w:pPr>
    </w:p>
    <w:p w:rsidR="0087579D" w:rsidRDefault="0087579D" w:rsidP="0087579D">
      <w:pPr>
        <w:pStyle w:val="Brdtext-RJH"/>
        <w:rPr>
          <w:rFonts w:ascii="Times New Roman" w:hAnsi="Times New Roman" w:cs="Times New Roman"/>
          <w:sz w:val="24"/>
          <w:szCs w:val="24"/>
          <w:lang w:val="sv-SE"/>
        </w:rPr>
      </w:pPr>
      <w:r>
        <w:rPr>
          <w:rFonts w:ascii="Times New Roman" w:hAnsi="Times New Roman" w:cs="Times New Roman"/>
          <w:sz w:val="24"/>
          <w:szCs w:val="24"/>
          <w:lang w:val="sv-SE"/>
        </w:rPr>
        <w:t xml:space="preserve">I ärenden avseende ställföreträdarskap för en enskild, bedömer domstolen dels den enskildes hjälpbehov utifrån dennes hälsotillstånd, dels huruvida denne har förmåga att samtycka till ett ställföreträdarskap. Med hänsyn härtill bör uppgifter lämnas i båda dessa avseenden. </w:t>
      </w:r>
    </w:p>
    <w:p w:rsidR="0087579D" w:rsidRDefault="0087579D" w:rsidP="0087579D">
      <w:pPr>
        <w:pStyle w:val="Brdtext-RJH"/>
        <w:rPr>
          <w:rFonts w:ascii="Times New Roman" w:hAnsi="Times New Roman" w:cs="Times New Roman"/>
          <w:b/>
          <w:sz w:val="24"/>
          <w:szCs w:val="24"/>
          <w:lang w:val="sv-SE"/>
        </w:rPr>
      </w:pPr>
    </w:p>
    <w:p w:rsidR="0087579D" w:rsidRDefault="0087579D" w:rsidP="0087579D">
      <w:pPr>
        <w:pStyle w:val="Brdtext-RJH"/>
        <w:rPr>
          <w:rFonts w:ascii="Times New Roman" w:hAnsi="Times New Roman" w:cs="Times New Roman"/>
          <w:sz w:val="24"/>
          <w:szCs w:val="24"/>
          <w:lang w:val="sv-SE"/>
        </w:rPr>
      </w:pPr>
      <w:r>
        <w:rPr>
          <w:rFonts w:ascii="Times New Roman" w:hAnsi="Times New Roman" w:cs="Times New Roman"/>
          <w:b/>
          <w:sz w:val="24"/>
          <w:szCs w:val="24"/>
          <w:lang w:val="sv-SE"/>
        </w:rPr>
        <w:t>Observera</w:t>
      </w:r>
      <w:r>
        <w:rPr>
          <w:rFonts w:ascii="Times New Roman" w:hAnsi="Times New Roman" w:cs="Times New Roman"/>
          <w:sz w:val="24"/>
          <w:szCs w:val="24"/>
          <w:lang w:val="sv-SE"/>
        </w:rPr>
        <w:t xml:space="preserve"> att den medicinska utredningen inte sällan har avgörande betydelse för domstolens bedömning i fråga om ställföreträdarskap ska anordnas, varför samtliga uppgifter om den enskildes hälsotillstånd som bedöms kunna vara av intresse för frågan om den enskildes hjälpbehov och förmåga att samtycka, bör lämnas ut. Om domstolen inte bedömer att det medicinska underlaget är tillräckligt kan domstolen begära komplettering, varför det av effektivitetsskäl och av hänsyn till den enskilde bör lämnas så omfattande utredning som möjligt redan då första begäran kommer in till vårdenheten.</w:t>
      </w:r>
    </w:p>
    <w:p w:rsidR="0087579D" w:rsidRDefault="0087579D" w:rsidP="0087579D">
      <w:pPr>
        <w:pStyle w:val="Brdtext-RJH"/>
        <w:rPr>
          <w:rFonts w:ascii="Times New Roman" w:hAnsi="Times New Roman" w:cs="Times New Roman"/>
          <w:b/>
          <w:sz w:val="24"/>
          <w:szCs w:val="24"/>
          <w:lang w:val="sv-SE"/>
        </w:rPr>
      </w:pPr>
    </w:p>
    <w:p w:rsidR="0087579D" w:rsidRDefault="0087579D" w:rsidP="0087579D">
      <w:pPr>
        <w:pStyle w:val="Brdtext-RJH"/>
        <w:rPr>
          <w:rFonts w:ascii="Times New Roman" w:hAnsi="Times New Roman" w:cs="Times New Roman"/>
          <w:b/>
          <w:sz w:val="24"/>
          <w:szCs w:val="24"/>
          <w:lang w:val="sv-SE"/>
        </w:rPr>
      </w:pPr>
      <w:r>
        <w:rPr>
          <w:rFonts w:ascii="Times New Roman" w:hAnsi="Times New Roman" w:cs="Times New Roman"/>
          <w:b/>
          <w:sz w:val="24"/>
          <w:szCs w:val="24"/>
          <w:lang w:val="sv-SE"/>
        </w:rPr>
        <w:t>Krav på uppgiftslämnande</w:t>
      </w:r>
    </w:p>
    <w:p w:rsidR="0087579D" w:rsidRDefault="0087579D" w:rsidP="0087579D">
      <w:pPr>
        <w:pStyle w:val="Brdtext-RJH"/>
        <w:rPr>
          <w:rFonts w:ascii="Times New Roman" w:hAnsi="Times New Roman" w:cs="Times New Roman"/>
          <w:sz w:val="24"/>
          <w:szCs w:val="24"/>
          <w:u w:val="single"/>
          <w:lang w:val="sv-SE"/>
        </w:rPr>
      </w:pPr>
    </w:p>
    <w:p w:rsidR="0087579D" w:rsidRDefault="0087579D" w:rsidP="0087579D">
      <w:pPr>
        <w:pStyle w:val="Brdtext-RJH"/>
        <w:rPr>
          <w:rFonts w:ascii="Times New Roman" w:hAnsi="Times New Roman" w:cs="Times New Roman"/>
          <w:sz w:val="24"/>
          <w:szCs w:val="24"/>
          <w:lang w:val="sv-SE"/>
        </w:rPr>
      </w:pPr>
      <w:r>
        <w:rPr>
          <w:rFonts w:ascii="Times New Roman" w:hAnsi="Times New Roman" w:cs="Times New Roman"/>
          <w:sz w:val="24"/>
          <w:szCs w:val="24"/>
          <w:lang w:val="sv-SE"/>
        </w:rPr>
        <w:t>Skyldigheten att på begäran lämna uppgifter om en enskilds hälsotillstånd gäller både då det är fråga om anordnande av ställföreträdarskap och då fråga är huruvida ett redan befintligt ställföreträdarskap ska jämkas eller helt upphöra. Skyldigheten att lämna uppgifter skiljer sig dock lite åt i de olika fallen.</w:t>
      </w:r>
    </w:p>
    <w:p w:rsidR="0087579D" w:rsidRDefault="0087579D" w:rsidP="0087579D">
      <w:pPr>
        <w:pStyle w:val="Brdtext-RJH"/>
        <w:rPr>
          <w:rFonts w:ascii="Times New Roman" w:hAnsi="Times New Roman" w:cs="Times New Roman"/>
          <w:sz w:val="24"/>
          <w:szCs w:val="24"/>
          <w:lang w:val="sv-SE"/>
        </w:rPr>
      </w:pPr>
    </w:p>
    <w:p w:rsidR="0087579D" w:rsidRDefault="0087579D" w:rsidP="0087579D">
      <w:pPr>
        <w:pStyle w:val="Brdtext-RJH"/>
        <w:rPr>
          <w:rFonts w:ascii="Times New Roman" w:hAnsi="Times New Roman" w:cs="Times New Roman"/>
          <w:sz w:val="24"/>
          <w:szCs w:val="24"/>
          <w:lang w:val="sv-SE"/>
        </w:rPr>
      </w:pPr>
    </w:p>
    <w:p w:rsidR="0087579D" w:rsidRDefault="0087579D" w:rsidP="0087579D">
      <w:pPr>
        <w:pStyle w:val="Brdtext-RJH"/>
        <w:rPr>
          <w:rFonts w:ascii="Times New Roman" w:hAnsi="Times New Roman" w:cs="Times New Roman"/>
          <w:sz w:val="24"/>
          <w:szCs w:val="24"/>
          <w:lang w:val="sv-SE"/>
        </w:rPr>
      </w:pPr>
    </w:p>
    <w:p w:rsidR="0087579D" w:rsidRDefault="0087579D" w:rsidP="0087579D">
      <w:pPr>
        <w:pStyle w:val="Brdtext-RJH"/>
        <w:rPr>
          <w:rFonts w:ascii="Times New Roman" w:hAnsi="Times New Roman" w:cs="Times New Roman"/>
          <w:sz w:val="24"/>
          <w:szCs w:val="24"/>
          <w:lang w:val="sv-SE"/>
        </w:rPr>
      </w:pPr>
    </w:p>
    <w:p w:rsidR="0087579D" w:rsidRDefault="0087579D" w:rsidP="0087579D">
      <w:pPr>
        <w:pStyle w:val="Brdtext-RJH"/>
        <w:rPr>
          <w:rFonts w:ascii="Times New Roman" w:hAnsi="Times New Roman" w:cs="Times New Roman"/>
          <w:sz w:val="24"/>
          <w:szCs w:val="24"/>
          <w:u w:val="single"/>
          <w:lang w:val="sv-SE"/>
        </w:rPr>
      </w:pPr>
      <w:r>
        <w:rPr>
          <w:rFonts w:ascii="Times New Roman" w:hAnsi="Times New Roman" w:cs="Times New Roman"/>
          <w:sz w:val="24"/>
          <w:szCs w:val="24"/>
          <w:u w:val="single"/>
          <w:lang w:val="sv-SE"/>
        </w:rPr>
        <w:lastRenderedPageBreak/>
        <w:t>Anordnande av ställföreträdarskap</w:t>
      </w:r>
    </w:p>
    <w:p w:rsidR="0087579D" w:rsidRDefault="0087579D" w:rsidP="0087579D">
      <w:pPr>
        <w:pStyle w:val="Brdtext-RJH"/>
        <w:rPr>
          <w:rFonts w:ascii="Times New Roman" w:hAnsi="Times New Roman" w:cs="Times New Roman"/>
          <w:sz w:val="24"/>
          <w:szCs w:val="24"/>
          <w:u w:val="single"/>
          <w:lang w:val="sv-SE"/>
        </w:rPr>
      </w:pPr>
    </w:p>
    <w:p w:rsidR="0087579D" w:rsidRDefault="0087579D" w:rsidP="0087579D">
      <w:pPr>
        <w:pStyle w:val="Brdtext-RJH"/>
        <w:numPr>
          <w:ilvl w:val="0"/>
          <w:numId w:val="5"/>
        </w:numPr>
        <w:rPr>
          <w:rFonts w:ascii="Times New Roman" w:hAnsi="Times New Roman" w:cs="Times New Roman"/>
          <w:sz w:val="24"/>
          <w:szCs w:val="24"/>
          <w:lang w:val="sv-SE"/>
        </w:rPr>
      </w:pPr>
      <w:r>
        <w:rPr>
          <w:rFonts w:ascii="Times New Roman" w:hAnsi="Times New Roman" w:cs="Times New Roman"/>
          <w:sz w:val="24"/>
          <w:szCs w:val="24"/>
          <w:lang w:val="sv-SE"/>
        </w:rPr>
        <w:t xml:space="preserve">Legitimerad läkare ska upprätta ett läkarintyg (5 kap. 2 § SOSFS 2005:29). Standardiserade intyg finns för detta ändamål. </w:t>
      </w:r>
    </w:p>
    <w:p w:rsidR="0087579D" w:rsidRDefault="0087579D" w:rsidP="0087579D">
      <w:pPr>
        <w:pStyle w:val="Brdtext-RJH"/>
        <w:numPr>
          <w:ilvl w:val="0"/>
          <w:numId w:val="5"/>
        </w:numPr>
        <w:rPr>
          <w:rFonts w:ascii="Times New Roman" w:hAnsi="Times New Roman" w:cs="Times New Roman"/>
          <w:sz w:val="24"/>
          <w:szCs w:val="24"/>
          <w:lang w:val="sv-SE"/>
        </w:rPr>
      </w:pPr>
      <w:r>
        <w:rPr>
          <w:rFonts w:ascii="Times New Roman" w:hAnsi="Times New Roman" w:cs="Times New Roman"/>
          <w:sz w:val="24"/>
          <w:szCs w:val="24"/>
          <w:lang w:val="sv-SE"/>
        </w:rPr>
        <w:t>Utöver ett sådant läkarintyg som avses i p. 1 får vårdgivaren även lämna ut utredning som man bedömer kan ha betydelse, exempelvis journalutdrag eller intyg upprättade av sjuksköterskor eller icke-legitimerade läkare.</w:t>
      </w:r>
    </w:p>
    <w:p w:rsidR="0087579D" w:rsidRDefault="0087579D" w:rsidP="0087579D">
      <w:pPr>
        <w:pStyle w:val="Brdtext-RJH"/>
        <w:rPr>
          <w:rFonts w:ascii="Times New Roman" w:hAnsi="Times New Roman" w:cs="Times New Roman"/>
          <w:sz w:val="24"/>
          <w:szCs w:val="24"/>
          <w:lang w:val="sv-SE"/>
        </w:rPr>
      </w:pPr>
    </w:p>
    <w:p w:rsidR="0087579D" w:rsidRDefault="0087579D" w:rsidP="0087579D">
      <w:pPr>
        <w:pStyle w:val="Brdtext-RJH"/>
        <w:rPr>
          <w:rFonts w:ascii="Times New Roman" w:hAnsi="Times New Roman" w:cs="Times New Roman"/>
          <w:sz w:val="24"/>
          <w:szCs w:val="24"/>
          <w:u w:val="single"/>
          <w:lang w:val="sv-SE"/>
        </w:rPr>
      </w:pPr>
      <w:r>
        <w:rPr>
          <w:rFonts w:ascii="Times New Roman" w:hAnsi="Times New Roman" w:cs="Times New Roman"/>
          <w:sz w:val="24"/>
          <w:szCs w:val="24"/>
          <w:u w:val="single"/>
          <w:lang w:val="sv-SE"/>
        </w:rPr>
        <w:t>Jämkning/Upphörande av ställföreträdarskap</w:t>
      </w:r>
    </w:p>
    <w:p w:rsidR="0087579D" w:rsidRDefault="0087579D" w:rsidP="0087579D">
      <w:pPr>
        <w:pStyle w:val="Brdtext-RJH"/>
        <w:rPr>
          <w:rFonts w:ascii="Times New Roman" w:hAnsi="Times New Roman" w:cs="Times New Roman"/>
          <w:sz w:val="24"/>
          <w:szCs w:val="24"/>
          <w:u w:val="single"/>
          <w:lang w:val="sv-SE"/>
        </w:rPr>
      </w:pPr>
    </w:p>
    <w:p w:rsidR="0087579D" w:rsidRDefault="0087579D" w:rsidP="0087579D">
      <w:pPr>
        <w:pStyle w:val="Brdtext-RJH"/>
        <w:rPr>
          <w:rFonts w:ascii="Times New Roman" w:hAnsi="Times New Roman" w:cs="Times New Roman"/>
          <w:sz w:val="24"/>
          <w:szCs w:val="24"/>
          <w:lang w:val="sv-SE"/>
        </w:rPr>
      </w:pPr>
      <w:r>
        <w:rPr>
          <w:rFonts w:ascii="Times New Roman" w:hAnsi="Times New Roman" w:cs="Times New Roman"/>
          <w:sz w:val="24"/>
          <w:szCs w:val="24"/>
          <w:lang w:val="sv-SE"/>
        </w:rPr>
        <w:t xml:space="preserve">I dessa fall finns inget </w:t>
      </w:r>
      <w:proofErr w:type="spellStart"/>
      <w:r>
        <w:rPr>
          <w:rFonts w:ascii="Times New Roman" w:hAnsi="Times New Roman" w:cs="Times New Roman"/>
          <w:sz w:val="24"/>
          <w:szCs w:val="24"/>
          <w:lang w:val="sv-SE"/>
        </w:rPr>
        <w:t>lagreglerat</w:t>
      </w:r>
      <w:proofErr w:type="spellEnd"/>
      <w:r>
        <w:rPr>
          <w:rFonts w:ascii="Times New Roman" w:hAnsi="Times New Roman" w:cs="Times New Roman"/>
          <w:sz w:val="24"/>
          <w:szCs w:val="24"/>
          <w:lang w:val="sv-SE"/>
        </w:rPr>
        <w:t xml:space="preserve"> krav på att intyg ska utfärdas av leg. läkare, utan här kan vårdgivaren lämna ut sådan medicinsk utredning om den enskildes hälsotillstånd som avses i punkten 2 ovan (exempelvis journalutdrag). </w:t>
      </w:r>
    </w:p>
    <w:p w:rsidR="0087579D" w:rsidRDefault="0087579D" w:rsidP="0087579D">
      <w:pPr>
        <w:pStyle w:val="Brdtext-RJH"/>
        <w:rPr>
          <w:rFonts w:ascii="Times New Roman" w:hAnsi="Times New Roman" w:cs="Times New Roman"/>
          <w:sz w:val="24"/>
          <w:szCs w:val="24"/>
          <w:lang w:val="sv-SE"/>
        </w:rPr>
      </w:pPr>
    </w:p>
    <w:p w:rsidR="0087579D" w:rsidRDefault="0087579D" w:rsidP="0087579D">
      <w:pPr>
        <w:pStyle w:val="Brdtext-RJH"/>
        <w:rPr>
          <w:rFonts w:ascii="Times New Roman" w:hAnsi="Times New Roman" w:cs="Times New Roman"/>
          <w:b/>
          <w:sz w:val="24"/>
          <w:szCs w:val="24"/>
          <w:lang w:val="sv-SE"/>
        </w:rPr>
      </w:pPr>
      <w:r>
        <w:rPr>
          <w:rFonts w:ascii="Times New Roman" w:hAnsi="Times New Roman" w:cs="Times New Roman"/>
          <w:b/>
          <w:sz w:val="24"/>
          <w:szCs w:val="24"/>
          <w:lang w:val="sv-SE"/>
        </w:rPr>
        <w:t>Sekretess</w:t>
      </w:r>
    </w:p>
    <w:p w:rsidR="0087579D" w:rsidRDefault="0087579D" w:rsidP="0087579D">
      <w:pPr>
        <w:pStyle w:val="Brdtext-RJH"/>
        <w:rPr>
          <w:rFonts w:ascii="Times New Roman" w:hAnsi="Times New Roman" w:cs="Times New Roman"/>
          <w:b/>
          <w:sz w:val="24"/>
          <w:szCs w:val="24"/>
          <w:lang w:val="sv-SE"/>
        </w:rPr>
      </w:pPr>
    </w:p>
    <w:p w:rsidR="0087579D" w:rsidRDefault="0087579D" w:rsidP="0087579D">
      <w:pPr>
        <w:pStyle w:val="Brdtext-RJH"/>
        <w:rPr>
          <w:rFonts w:ascii="Times New Roman" w:hAnsi="Times New Roman" w:cs="Times New Roman"/>
          <w:sz w:val="24"/>
          <w:szCs w:val="24"/>
          <w:lang w:val="sv-SE"/>
        </w:rPr>
      </w:pPr>
      <w:r>
        <w:rPr>
          <w:rFonts w:ascii="Times New Roman" w:hAnsi="Times New Roman" w:cs="Times New Roman"/>
          <w:sz w:val="24"/>
          <w:szCs w:val="24"/>
          <w:lang w:val="sv-SE"/>
        </w:rPr>
        <w:t>Sekretess för läkarintyg och andra handlingar som innehåller medicinsk utredning om den enskilde, gäller även hos Överförmyndaren (32 kap. 4 § OSL). Det är därför inget hinder att lämna ut sådana handlingar med innehåll som omfattas av sekretess till Överförmyndaren.</w:t>
      </w:r>
    </w:p>
    <w:p w:rsidR="0087579D" w:rsidRDefault="0087579D" w:rsidP="0087579D">
      <w:pPr>
        <w:pStyle w:val="Brdtext-RJH"/>
        <w:rPr>
          <w:rFonts w:ascii="Times New Roman" w:hAnsi="Times New Roman" w:cs="Times New Roman"/>
          <w:sz w:val="24"/>
          <w:szCs w:val="24"/>
          <w:lang w:val="sv-SE"/>
        </w:rPr>
      </w:pPr>
    </w:p>
    <w:p w:rsidR="0087579D" w:rsidRDefault="0087579D" w:rsidP="0087579D"/>
    <w:p w:rsidR="0087579D" w:rsidRDefault="0087579D" w:rsidP="0087579D"/>
    <w:p w:rsidR="0087579D" w:rsidRDefault="0087579D" w:rsidP="0087579D">
      <w:pPr>
        <w:pStyle w:val="Brdtext-RJH"/>
        <w:rPr>
          <w:lang w:val="sv-SE"/>
        </w:rPr>
      </w:pPr>
    </w:p>
    <w:p w:rsidR="0087579D" w:rsidRDefault="0087579D" w:rsidP="0087579D">
      <w:pPr>
        <w:rPr>
          <w:rFonts w:ascii="Georgia" w:hAnsi="Georgia"/>
          <w:szCs w:val="20"/>
        </w:rPr>
      </w:pPr>
    </w:p>
    <w:p w:rsidR="00916330" w:rsidRDefault="00916330" w:rsidP="00BB4CF3">
      <w:pPr>
        <w:pStyle w:val="Brdtext-RJH"/>
      </w:pPr>
    </w:p>
    <w:p w:rsidR="0087579D" w:rsidRPr="005814E2" w:rsidRDefault="0087579D" w:rsidP="00BB4CF3">
      <w:pPr>
        <w:pStyle w:val="Brdtext-RJH"/>
      </w:pPr>
    </w:p>
    <w:sectPr w:rsidR="0087579D" w:rsidRPr="005814E2" w:rsidSect="00E60434">
      <w:footerReference w:type="default" r:id="rId10"/>
      <w:type w:val="continuous"/>
      <w:pgSz w:w="11906" w:h="16838"/>
      <w:pgMar w:top="1985" w:right="1871" w:bottom="1701"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09A" w:rsidRDefault="0099709A" w:rsidP="00093707">
      <w:r>
        <w:separator/>
      </w:r>
    </w:p>
  </w:endnote>
  <w:endnote w:type="continuationSeparator" w:id="0">
    <w:p w:rsidR="0099709A" w:rsidRDefault="0099709A"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D612B6" w:rsidTr="002B0A12">
      <w:tc>
        <w:tcPr>
          <w:tcW w:w="9640" w:type="dxa"/>
          <w:tcBorders>
            <w:top w:val="nil"/>
            <w:left w:val="nil"/>
            <w:bottom w:val="nil"/>
            <w:right w:val="nil"/>
          </w:tcBorders>
        </w:tcPr>
        <w:p w:rsidR="00D612B6" w:rsidRPr="0075571B" w:rsidRDefault="00D612B6" w:rsidP="0075571B">
          <w:pPr>
            <w:spacing w:line="220" w:lineRule="exact"/>
            <w:rPr>
              <w:rFonts w:ascii="Tahoma" w:hAnsi="Tahoma" w:cs="Tahoma"/>
              <w:sz w:val="16"/>
              <w:szCs w:val="16"/>
            </w:rPr>
          </w:pPr>
        </w:p>
      </w:tc>
    </w:tr>
  </w:tbl>
  <w:p w:rsidR="00D612B6" w:rsidRPr="00E11ADB" w:rsidRDefault="00D612B6" w:rsidP="00E11ADB">
    <w:pPr>
      <w:jc w:val="center"/>
      <w:rPr>
        <w:rFonts w:ascii="Tahoma" w:hAnsi="Tahoma"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D612B6" w:rsidTr="002B0A12">
      <w:tc>
        <w:tcPr>
          <w:tcW w:w="9640" w:type="dxa"/>
          <w:tcBorders>
            <w:top w:val="nil"/>
            <w:left w:val="nil"/>
            <w:bottom w:val="nil"/>
            <w:right w:val="nil"/>
          </w:tcBorders>
        </w:tcPr>
        <w:p w:rsidR="00D612B6" w:rsidRPr="005E03DA" w:rsidRDefault="00D612B6" w:rsidP="005E03DA">
          <w:pPr>
            <w:rPr>
              <w:rFonts w:ascii="Tahoma" w:hAnsi="Tahoma"/>
              <w:sz w:val="16"/>
              <w:szCs w:val="16"/>
            </w:rPr>
          </w:pPr>
        </w:p>
      </w:tc>
    </w:tr>
  </w:tbl>
  <w:p w:rsidR="00D612B6" w:rsidRPr="00E11ADB" w:rsidRDefault="00D612B6" w:rsidP="00E11ADB">
    <w:pPr>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09A" w:rsidRDefault="0099709A" w:rsidP="00093707">
      <w:r>
        <w:separator/>
      </w:r>
    </w:p>
  </w:footnote>
  <w:footnote w:type="continuationSeparator" w:id="0">
    <w:p w:rsidR="0099709A" w:rsidRDefault="0099709A" w:rsidP="0009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1026" w:type="dxa"/>
      <w:tblLook w:val="04A0" w:firstRow="1" w:lastRow="0" w:firstColumn="1" w:lastColumn="0" w:noHBand="0" w:noVBand="1"/>
    </w:tblPr>
    <w:tblGrid>
      <w:gridCol w:w="4077"/>
      <w:gridCol w:w="2410"/>
      <w:gridCol w:w="3861"/>
    </w:tblGrid>
    <w:tr w:rsidR="00D612B6" w:rsidRPr="00AA4426" w:rsidTr="00BC4FCE">
      <w:trPr>
        <w:trHeight w:val="482"/>
      </w:trPr>
      <w:tc>
        <w:tcPr>
          <w:tcW w:w="4077" w:type="dxa"/>
          <w:vMerge w:val="restart"/>
        </w:tcPr>
        <w:p w:rsidR="00D612B6" w:rsidRPr="00110C05" w:rsidRDefault="00D612B6" w:rsidP="005814E2">
          <w:pPr>
            <w:tabs>
              <w:tab w:val="left" w:pos="1095"/>
            </w:tabs>
            <w:rPr>
              <w:rFonts w:ascii="Tahoma" w:hAnsi="Tahoma"/>
            </w:rPr>
          </w:pPr>
        </w:p>
      </w:tc>
      <w:tc>
        <w:tcPr>
          <w:tcW w:w="2410" w:type="dxa"/>
        </w:tcPr>
        <w:p w:rsidR="00D612B6" w:rsidRPr="00334C4E" w:rsidRDefault="00D612B6">
          <w:pPr>
            <w:rPr>
              <w:rFonts w:ascii="Tahoma" w:hAnsi="Tahoma"/>
              <w:b/>
            </w:rPr>
          </w:pPr>
        </w:p>
      </w:tc>
      <w:tc>
        <w:tcPr>
          <w:tcW w:w="3861" w:type="dxa"/>
        </w:tcPr>
        <w:sdt>
          <w:sdtPr>
            <w:rPr>
              <w:rFonts w:cs="Arial"/>
              <w:sz w:val="13"/>
              <w:szCs w:val="13"/>
            </w:rPr>
            <w:id w:val="23994751"/>
            <w:docPartObj>
              <w:docPartGallery w:val="Page Numbers (Top of Page)"/>
              <w:docPartUnique/>
            </w:docPartObj>
          </w:sdtPr>
          <w:sdtEndPr/>
          <w:sdtContent>
            <w:p w:rsidR="00D612B6" w:rsidRPr="00C1085C" w:rsidRDefault="00F805C1" w:rsidP="00F63C3C">
              <w:pPr>
                <w:jc w:val="right"/>
                <w:rPr>
                  <w:rFonts w:cs="Arial"/>
                  <w:sz w:val="13"/>
                  <w:szCs w:val="13"/>
                </w:rPr>
              </w:pPr>
              <w:r w:rsidRPr="005814E2">
                <w:rPr>
                  <w:rFonts w:cs="Arial"/>
                  <w:sz w:val="13"/>
                  <w:szCs w:val="13"/>
                </w:rPr>
                <w:fldChar w:fldCharType="begin"/>
              </w:r>
              <w:r w:rsidR="00D612B6" w:rsidRPr="005814E2">
                <w:rPr>
                  <w:rFonts w:cs="Arial"/>
                  <w:sz w:val="13"/>
                  <w:szCs w:val="13"/>
                </w:rPr>
                <w:instrText xml:space="preserve"> PAGE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r w:rsidRPr="005814E2">
                <w:rPr>
                  <w:rFonts w:cs="Arial"/>
                  <w:sz w:val="13"/>
                  <w:szCs w:val="13"/>
                </w:rPr>
                <w:fldChar w:fldCharType="begin"/>
              </w:r>
              <w:r w:rsidR="00D612B6" w:rsidRPr="005814E2">
                <w:rPr>
                  <w:rFonts w:cs="Arial"/>
                  <w:sz w:val="13"/>
                  <w:szCs w:val="13"/>
                </w:rPr>
                <w:instrText xml:space="preserve"> NUMPAGES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p>
          </w:sdtContent>
        </w:sdt>
      </w:tc>
    </w:tr>
    <w:tr w:rsidR="00D612B6" w:rsidRPr="00AA4426" w:rsidTr="00BC4FCE">
      <w:trPr>
        <w:trHeight w:val="587"/>
      </w:trPr>
      <w:tc>
        <w:tcPr>
          <w:tcW w:w="4077" w:type="dxa"/>
          <w:vMerge/>
        </w:tcPr>
        <w:p w:rsidR="00D612B6" w:rsidRPr="00AA4426" w:rsidRDefault="00D612B6">
          <w:pPr>
            <w:rPr>
              <w:rFonts w:ascii="Tahoma" w:hAnsi="Tahoma"/>
            </w:rPr>
          </w:pPr>
        </w:p>
      </w:tc>
      <w:tc>
        <w:tcPr>
          <w:tcW w:w="2410" w:type="dxa"/>
        </w:tcPr>
        <w:p w:rsidR="00D612B6" w:rsidRPr="00AA4426" w:rsidRDefault="00D612B6">
          <w:pPr>
            <w:rPr>
              <w:rFonts w:ascii="Tahoma" w:hAnsi="Tahoma"/>
              <w:vanish/>
              <w:color w:val="FF0000"/>
            </w:rPr>
          </w:pPr>
        </w:p>
      </w:tc>
      <w:tc>
        <w:tcPr>
          <w:tcW w:w="3861" w:type="dxa"/>
        </w:tcPr>
        <w:p w:rsidR="00D612B6" w:rsidRPr="00AA4426" w:rsidRDefault="00D612B6" w:rsidP="00BC4FCE">
          <w:pPr>
            <w:jc w:val="right"/>
            <w:rPr>
              <w:rFonts w:ascii="Tahoma" w:hAnsi="Tahoma"/>
            </w:rPr>
          </w:pPr>
        </w:p>
      </w:tc>
    </w:tr>
  </w:tbl>
  <w:p w:rsidR="00D612B6" w:rsidRPr="00FA1361" w:rsidRDefault="003560B6" w:rsidP="0031755D">
    <w:pPr>
      <w:rPr>
        <w:rFonts w:ascii="Tahoma" w:hAnsi="Tahoma" w:cs="Tahoma"/>
        <w:sz w:val="18"/>
        <w:szCs w:val="18"/>
      </w:rPr>
    </w:pPr>
    <w:bookmarkStart w:id="5" w:name="instanceName"/>
    <w:bookmarkEnd w:id="5"/>
    <w:r>
      <w:rPr>
        <w:noProof/>
        <w:lang w:eastAsia="sv-SE"/>
      </w:rPr>
      <w:drawing>
        <wp:anchor distT="0" distB="0" distL="114300" distR="114300" simplePos="0" relativeHeight="251659264" behindDoc="0" locked="0" layoutInCell="1" allowOverlap="1" wp14:anchorId="06C0B704" wp14:editId="2A39C469">
          <wp:simplePos x="0" y="0"/>
          <wp:positionH relativeFrom="page">
            <wp:posOffset>480695</wp:posOffset>
          </wp:positionH>
          <wp:positionV relativeFrom="page">
            <wp:posOffset>308610</wp:posOffset>
          </wp:positionV>
          <wp:extent cx="1752600" cy="6731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44775922"/>
    <w:multiLevelType w:val="hybridMultilevel"/>
    <w:tmpl w:val="85906D6C"/>
    <w:lvl w:ilvl="0" w:tplc="740A356A">
      <w:start w:val="2018"/>
      <w:numFmt w:val="bullet"/>
      <w:lvlText w:val=""/>
      <w:lvlJc w:val="left"/>
      <w:pPr>
        <w:ind w:left="720" w:hanging="360"/>
      </w:pPr>
      <w:rPr>
        <w:rFonts w:ascii="Symbol" w:eastAsiaTheme="minorHAns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1F66"/>
    <w:rsid w:val="000055DE"/>
    <w:rsid w:val="00020983"/>
    <w:rsid w:val="000221E0"/>
    <w:rsid w:val="00040550"/>
    <w:rsid w:val="00045F8A"/>
    <w:rsid w:val="00047706"/>
    <w:rsid w:val="00051DD7"/>
    <w:rsid w:val="00063EF2"/>
    <w:rsid w:val="0008113F"/>
    <w:rsid w:val="0008611C"/>
    <w:rsid w:val="00093707"/>
    <w:rsid w:val="00094F3D"/>
    <w:rsid w:val="000962DD"/>
    <w:rsid w:val="000A235E"/>
    <w:rsid w:val="000B19F4"/>
    <w:rsid w:val="000F1AFC"/>
    <w:rsid w:val="000F5172"/>
    <w:rsid w:val="0010560C"/>
    <w:rsid w:val="00110C05"/>
    <w:rsid w:val="00127D3A"/>
    <w:rsid w:val="0015249B"/>
    <w:rsid w:val="00165828"/>
    <w:rsid w:val="00180D3C"/>
    <w:rsid w:val="0018439F"/>
    <w:rsid w:val="0019247E"/>
    <w:rsid w:val="001A05E0"/>
    <w:rsid w:val="001A562A"/>
    <w:rsid w:val="001A6C26"/>
    <w:rsid w:val="001B1FEA"/>
    <w:rsid w:val="001B280F"/>
    <w:rsid w:val="001C4AEC"/>
    <w:rsid w:val="001C517F"/>
    <w:rsid w:val="001C5E85"/>
    <w:rsid w:val="001C5E88"/>
    <w:rsid w:val="001F0D4D"/>
    <w:rsid w:val="001F10C8"/>
    <w:rsid w:val="00200C05"/>
    <w:rsid w:val="002144B9"/>
    <w:rsid w:val="00222AC4"/>
    <w:rsid w:val="00227168"/>
    <w:rsid w:val="00234417"/>
    <w:rsid w:val="00254DC3"/>
    <w:rsid w:val="00260FD8"/>
    <w:rsid w:val="0027199A"/>
    <w:rsid w:val="00285039"/>
    <w:rsid w:val="0028679D"/>
    <w:rsid w:val="002876EC"/>
    <w:rsid w:val="002A5C52"/>
    <w:rsid w:val="002B0A12"/>
    <w:rsid w:val="002C2A49"/>
    <w:rsid w:val="0030200C"/>
    <w:rsid w:val="0031755D"/>
    <w:rsid w:val="00334C4E"/>
    <w:rsid w:val="00353F6F"/>
    <w:rsid w:val="00354B41"/>
    <w:rsid w:val="003554E2"/>
    <w:rsid w:val="003560B6"/>
    <w:rsid w:val="003774C0"/>
    <w:rsid w:val="00396081"/>
    <w:rsid w:val="00396B64"/>
    <w:rsid w:val="003A47B7"/>
    <w:rsid w:val="003B386D"/>
    <w:rsid w:val="003B4F58"/>
    <w:rsid w:val="003D3A64"/>
    <w:rsid w:val="003E1EE1"/>
    <w:rsid w:val="003E385F"/>
    <w:rsid w:val="003F3D9D"/>
    <w:rsid w:val="00416730"/>
    <w:rsid w:val="0043723A"/>
    <w:rsid w:val="00440C16"/>
    <w:rsid w:val="00460DAC"/>
    <w:rsid w:val="00461D2B"/>
    <w:rsid w:val="00474C80"/>
    <w:rsid w:val="004858FE"/>
    <w:rsid w:val="004A2D54"/>
    <w:rsid w:val="004B4BE1"/>
    <w:rsid w:val="004C18A6"/>
    <w:rsid w:val="004D031F"/>
    <w:rsid w:val="004D7EE2"/>
    <w:rsid w:val="004E1A58"/>
    <w:rsid w:val="004E275D"/>
    <w:rsid w:val="00506065"/>
    <w:rsid w:val="00512493"/>
    <w:rsid w:val="00521765"/>
    <w:rsid w:val="005344CD"/>
    <w:rsid w:val="00540DDC"/>
    <w:rsid w:val="00553618"/>
    <w:rsid w:val="00554302"/>
    <w:rsid w:val="00566FD8"/>
    <w:rsid w:val="005814E2"/>
    <w:rsid w:val="005E03DA"/>
    <w:rsid w:val="005F53AA"/>
    <w:rsid w:val="006325BA"/>
    <w:rsid w:val="006339E7"/>
    <w:rsid w:val="006519E2"/>
    <w:rsid w:val="00675717"/>
    <w:rsid w:val="00677211"/>
    <w:rsid w:val="00693830"/>
    <w:rsid w:val="006A14F4"/>
    <w:rsid w:val="006A5EC2"/>
    <w:rsid w:val="006B6B2F"/>
    <w:rsid w:val="006D2A3A"/>
    <w:rsid w:val="006E19E7"/>
    <w:rsid w:val="006F31DA"/>
    <w:rsid w:val="00710BF7"/>
    <w:rsid w:val="00732FF6"/>
    <w:rsid w:val="007333CC"/>
    <w:rsid w:val="0075571B"/>
    <w:rsid w:val="007676B1"/>
    <w:rsid w:val="00776ADB"/>
    <w:rsid w:val="0079571F"/>
    <w:rsid w:val="007C3917"/>
    <w:rsid w:val="007E61EA"/>
    <w:rsid w:val="00804931"/>
    <w:rsid w:val="00842EC4"/>
    <w:rsid w:val="00871F2D"/>
    <w:rsid w:val="0087579D"/>
    <w:rsid w:val="00881B92"/>
    <w:rsid w:val="00881C21"/>
    <w:rsid w:val="00885F92"/>
    <w:rsid w:val="008A43A3"/>
    <w:rsid w:val="008A7149"/>
    <w:rsid w:val="008B247A"/>
    <w:rsid w:val="008C40CF"/>
    <w:rsid w:val="008D1CAC"/>
    <w:rsid w:val="008E5110"/>
    <w:rsid w:val="008F2A46"/>
    <w:rsid w:val="008F4265"/>
    <w:rsid w:val="008F7126"/>
    <w:rsid w:val="00902233"/>
    <w:rsid w:val="00907D32"/>
    <w:rsid w:val="009148EB"/>
    <w:rsid w:val="00916330"/>
    <w:rsid w:val="00936A66"/>
    <w:rsid w:val="00944182"/>
    <w:rsid w:val="00945F9C"/>
    <w:rsid w:val="00950ACD"/>
    <w:rsid w:val="00983EE1"/>
    <w:rsid w:val="0099709A"/>
    <w:rsid w:val="009A622E"/>
    <w:rsid w:val="009B3CF0"/>
    <w:rsid w:val="009B3F11"/>
    <w:rsid w:val="009D6603"/>
    <w:rsid w:val="009E097A"/>
    <w:rsid w:val="009F15B2"/>
    <w:rsid w:val="00A100BA"/>
    <w:rsid w:val="00A21C36"/>
    <w:rsid w:val="00A33C15"/>
    <w:rsid w:val="00A41812"/>
    <w:rsid w:val="00A50391"/>
    <w:rsid w:val="00A53D26"/>
    <w:rsid w:val="00A60C00"/>
    <w:rsid w:val="00A74D0B"/>
    <w:rsid w:val="00A8355E"/>
    <w:rsid w:val="00A934E9"/>
    <w:rsid w:val="00AA4426"/>
    <w:rsid w:val="00AA718A"/>
    <w:rsid w:val="00AA7B4B"/>
    <w:rsid w:val="00AB7724"/>
    <w:rsid w:val="00AC2ABE"/>
    <w:rsid w:val="00B13D6F"/>
    <w:rsid w:val="00B1695E"/>
    <w:rsid w:val="00B17A0D"/>
    <w:rsid w:val="00B43E63"/>
    <w:rsid w:val="00B504EA"/>
    <w:rsid w:val="00B60AD7"/>
    <w:rsid w:val="00B73C52"/>
    <w:rsid w:val="00B77555"/>
    <w:rsid w:val="00B87744"/>
    <w:rsid w:val="00B879E2"/>
    <w:rsid w:val="00B9010C"/>
    <w:rsid w:val="00B9048A"/>
    <w:rsid w:val="00B9086B"/>
    <w:rsid w:val="00B91F66"/>
    <w:rsid w:val="00BB105F"/>
    <w:rsid w:val="00BB10F8"/>
    <w:rsid w:val="00BB11DD"/>
    <w:rsid w:val="00BB1951"/>
    <w:rsid w:val="00BB3A59"/>
    <w:rsid w:val="00BB4CF3"/>
    <w:rsid w:val="00BC3D17"/>
    <w:rsid w:val="00BC42BF"/>
    <w:rsid w:val="00BC4FCE"/>
    <w:rsid w:val="00BC5909"/>
    <w:rsid w:val="00BC59F8"/>
    <w:rsid w:val="00BD2AE6"/>
    <w:rsid w:val="00BE4CAA"/>
    <w:rsid w:val="00BE5D90"/>
    <w:rsid w:val="00C077D9"/>
    <w:rsid w:val="00C1085C"/>
    <w:rsid w:val="00C113E5"/>
    <w:rsid w:val="00C22C84"/>
    <w:rsid w:val="00C2693B"/>
    <w:rsid w:val="00C35423"/>
    <w:rsid w:val="00C36738"/>
    <w:rsid w:val="00C420EA"/>
    <w:rsid w:val="00C6276E"/>
    <w:rsid w:val="00C6624E"/>
    <w:rsid w:val="00C849CA"/>
    <w:rsid w:val="00C92B32"/>
    <w:rsid w:val="00C93523"/>
    <w:rsid w:val="00CB083C"/>
    <w:rsid w:val="00CB0AD4"/>
    <w:rsid w:val="00CB3AD9"/>
    <w:rsid w:val="00CC10DF"/>
    <w:rsid w:val="00CC118D"/>
    <w:rsid w:val="00CF3BC6"/>
    <w:rsid w:val="00D00121"/>
    <w:rsid w:val="00D15937"/>
    <w:rsid w:val="00D23756"/>
    <w:rsid w:val="00D328C3"/>
    <w:rsid w:val="00D3778F"/>
    <w:rsid w:val="00D612B6"/>
    <w:rsid w:val="00D70F42"/>
    <w:rsid w:val="00D7377C"/>
    <w:rsid w:val="00D742E9"/>
    <w:rsid w:val="00D74FBE"/>
    <w:rsid w:val="00D77ABC"/>
    <w:rsid w:val="00D91825"/>
    <w:rsid w:val="00DA3452"/>
    <w:rsid w:val="00DD7807"/>
    <w:rsid w:val="00E10316"/>
    <w:rsid w:val="00E11ADB"/>
    <w:rsid w:val="00E123B0"/>
    <w:rsid w:val="00E502BE"/>
    <w:rsid w:val="00E60434"/>
    <w:rsid w:val="00E92A5D"/>
    <w:rsid w:val="00E92F27"/>
    <w:rsid w:val="00E97B6D"/>
    <w:rsid w:val="00EA6E3F"/>
    <w:rsid w:val="00ED1AC7"/>
    <w:rsid w:val="00EE43CD"/>
    <w:rsid w:val="00F00A62"/>
    <w:rsid w:val="00F1490C"/>
    <w:rsid w:val="00F23939"/>
    <w:rsid w:val="00F30DA4"/>
    <w:rsid w:val="00F36871"/>
    <w:rsid w:val="00F455CD"/>
    <w:rsid w:val="00F47922"/>
    <w:rsid w:val="00F63C3C"/>
    <w:rsid w:val="00F67BE0"/>
    <w:rsid w:val="00F805C1"/>
    <w:rsid w:val="00F86EB6"/>
    <w:rsid w:val="00F94466"/>
    <w:rsid w:val="00FA1361"/>
    <w:rsid w:val="00FD0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64975944"/>
  <w15:docId w15:val="{0A2FBE98-4A17-4EF6-8F7A-321619B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RJH"/>
    <w:qFormat/>
    <w:rsid w:val="00BB4CF3"/>
    <w:pPr>
      <w:spacing w:after="0" w:line="240" w:lineRule="auto"/>
    </w:pPr>
    <w:rPr>
      <w:rFonts w:ascii="Arial Narrow" w:hAnsi="Arial Narrow"/>
      <w:sz w:val="20"/>
    </w:rPr>
  </w:style>
  <w:style w:type="paragraph" w:styleId="Rubrik1">
    <w:name w:val="heading 1"/>
    <w:basedOn w:val="Normal"/>
    <w:next w:val="Normal"/>
    <w:link w:val="Rubrik1Char"/>
    <w:uiPriority w:val="9"/>
    <w:qFormat/>
    <w:rsid w:val="00E502BE"/>
    <w:pPr>
      <w:keepNext/>
      <w:keepLines/>
      <w:spacing w:before="480" w:after="120"/>
      <w:outlineLvl w:val="0"/>
    </w:pPr>
    <w:rPr>
      <w:rFonts w:eastAsiaTheme="majorEastAsia" w:cstheme="majorBidi"/>
      <w:b/>
      <w:bCs/>
      <w:sz w:val="44"/>
      <w:szCs w:val="28"/>
    </w:rPr>
  </w:style>
  <w:style w:type="paragraph" w:styleId="Rubrik2">
    <w:name w:val="heading 2"/>
    <w:basedOn w:val="Normal"/>
    <w:next w:val="Normal"/>
    <w:link w:val="Rubrik2Char"/>
    <w:uiPriority w:val="9"/>
    <w:qFormat/>
    <w:rsid w:val="00E502BE"/>
    <w:pPr>
      <w:keepNext/>
      <w:keepLines/>
      <w:spacing w:before="440" w:after="40"/>
      <w:outlineLvl w:val="1"/>
    </w:pPr>
    <w:rPr>
      <w:rFonts w:eastAsiaTheme="majorEastAsia" w:cstheme="majorBidi"/>
      <w:bCs/>
      <w:sz w:val="28"/>
      <w:szCs w:val="26"/>
    </w:rPr>
  </w:style>
  <w:style w:type="paragraph" w:styleId="Rubrik3">
    <w:name w:val="heading 3"/>
    <w:basedOn w:val="Normal"/>
    <w:next w:val="Normal"/>
    <w:link w:val="Rubrik3Char"/>
    <w:uiPriority w:val="9"/>
    <w:qFormat/>
    <w:rsid w:val="00E502BE"/>
    <w:pPr>
      <w:keepNext/>
      <w:keepLines/>
      <w:spacing w:before="360" w:after="40"/>
      <w:outlineLvl w:val="2"/>
    </w:pPr>
    <w:rPr>
      <w:rFonts w:eastAsiaTheme="majorEastAsia" w:cstheme="majorBidi"/>
      <w:bCs/>
      <w:sz w:val="28"/>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02BE"/>
    <w:rPr>
      <w:rFonts w:ascii="Arial Narrow" w:eastAsiaTheme="majorEastAsia" w:hAnsi="Arial Narrow" w:cstheme="majorBidi"/>
      <w:b/>
      <w:bCs/>
      <w:sz w:val="44"/>
      <w:szCs w:val="28"/>
    </w:rPr>
  </w:style>
  <w:style w:type="character" w:customStyle="1" w:styleId="Rubrik2Char">
    <w:name w:val="Rubrik 2 Char"/>
    <w:basedOn w:val="Standardstycketeckensnitt"/>
    <w:link w:val="Rubrik2"/>
    <w:uiPriority w:val="9"/>
    <w:rsid w:val="00E502BE"/>
    <w:rPr>
      <w:rFonts w:ascii="Arial Narrow" w:eastAsiaTheme="majorEastAsia" w:hAnsi="Arial Narrow" w:cstheme="majorBidi"/>
      <w:bCs/>
      <w:sz w:val="28"/>
      <w:szCs w:val="26"/>
    </w:rPr>
  </w:style>
  <w:style w:type="character" w:customStyle="1" w:styleId="Rubrik3Char">
    <w:name w:val="Rubrik 3 Char"/>
    <w:basedOn w:val="Standardstycketeckensnitt"/>
    <w:link w:val="Rubrik3"/>
    <w:uiPriority w:val="9"/>
    <w:rsid w:val="00E502BE"/>
    <w:rPr>
      <w:rFonts w:ascii="Arial Narrow" w:eastAsiaTheme="majorEastAsia" w:hAnsi="Arial Narrow" w:cstheme="majorBidi"/>
      <w:bCs/>
      <w:sz w:val="28"/>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character" w:styleId="Hyperlnk">
    <w:name w:val="Hyperlink"/>
    <w:basedOn w:val="Standardstycketeckensnitt"/>
    <w:uiPriority w:val="99"/>
    <w:unhideWhenUsed/>
    <w:rsid w:val="00BB4CF3"/>
    <w:rPr>
      <w:color w:val="000000" w:themeColor="hyperlink"/>
      <w:u w:val="single"/>
    </w:rPr>
  </w:style>
  <w:style w:type="paragraph" w:customStyle="1" w:styleId="Ingress-RJH">
    <w:name w:val="Ingress-RJH"/>
    <w:qFormat/>
    <w:rsid w:val="00BB4CF3"/>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BB4CF3"/>
    <w:pPr>
      <w:tabs>
        <w:tab w:val="right" w:leader="dot" w:pos="8154"/>
      </w:tabs>
      <w:spacing w:before="160"/>
    </w:pPr>
    <w:rPr>
      <w:caps/>
      <w:sz w:val="24"/>
    </w:rPr>
  </w:style>
  <w:style w:type="paragraph" w:styleId="Innehll2">
    <w:name w:val="toc 2"/>
    <w:basedOn w:val="Normal"/>
    <w:next w:val="Normal"/>
    <w:autoRedefine/>
    <w:uiPriority w:val="39"/>
    <w:unhideWhenUsed/>
    <w:rsid w:val="00BB4CF3"/>
  </w:style>
  <w:style w:type="paragraph" w:styleId="Ballongtext">
    <w:name w:val="Balloon Text"/>
    <w:basedOn w:val="Normal"/>
    <w:link w:val="BallongtextChar"/>
    <w:uiPriority w:val="99"/>
    <w:semiHidden/>
    <w:unhideWhenUsed/>
    <w:rsid w:val="00BB4CF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4CF3"/>
    <w:rPr>
      <w:rFonts w:ascii="Segoe UI" w:hAnsi="Segoe UI" w:cs="Segoe UI"/>
      <w:sz w:val="18"/>
      <w:szCs w:val="18"/>
    </w:rPr>
  </w:style>
  <w:style w:type="paragraph" w:styleId="Innehll3">
    <w:name w:val="toc 3"/>
    <w:basedOn w:val="Normal"/>
    <w:next w:val="Normal"/>
    <w:autoRedefine/>
    <w:uiPriority w:val="39"/>
    <w:unhideWhenUsed/>
    <w:rsid w:val="00BB4CF3"/>
    <w:pPr>
      <w:spacing w:after="200"/>
      <w:ind w:left="170"/>
    </w:pPr>
  </w:style>
  <w:style w:type="paragraph" w:styleId="Innehllsfrteckningsrubrik">
    <w:name w:val="TOC Heading"/>
    <w:basedOn w:val="Rubrik1"/>
    <w:next w:val="Normal"/>
    <w:uiPriority w:val="39"/>
    <w:unhideWhenUsed/>
    <w:qFormat/>
    <w:rsid w:val="00BB4CF3"/>
    <w:pPr>
      <w:spacing w:after="160"/>
      <w:outlineLvl w:val="9"/>
    </w:pPr>
    <w:rPr>
      <w:rFonts w:asciiTheme="majorHAnsi" w:hAnsiTheme="majorHAnsi"/>
      <w:b w:val="0"/>
      <w:bCs w:val="0"/>
      <w:szCs w:val="32"/>
      <w:lang w:eastAsia="sv-SE"/>
    </w:rPr>
  </w:style>
  <w:style w:type="paragraph" w:styleId="Numreradlista">
    <w:name w:val="List Number"/>
    <w:aliases w:val="Numrerad lista - RJH"/>
    <w:basedOn w:val="Normal"/>
    <w:uiPriority w:val="99"/>
    <w:unhideWhenUsed/>
    <w:rsid w:val="00BB4CF3"/>
    <w:pPr>
      <w:numPr>
        <w:numId w:val="2"/>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BB4CF3"/>
    <w:pPr>
      <w:numPr>
        <w:numId w:val="4"/>
      </w:numPr>
      <w:spacing w:before="280" w:after="280" w:line="288" w:lineRule="auto"/>
      <w:contextualSpacing/>
    </w:pPr>
    <w:rPr>
      <w:rFonts w:ascii="Georgia" w:hAnsi="Georgia"/>
    </w:rPr>
  </w:style>
  <w:style w:type="paragraph" w:customStyle="1" w:styleId="Brdtext-RJH">
    <w:name w:val="Brödtext - RJH"/>
    <w:qFormat/>
    <w:rsid w:val="00BB4CF3"/>
    <w:pPr>
      <w:spacing w:after="0" w:line="288" w:lineRule="auto"/>
    </w:pPr>
    <w:rPr>
      <w:rFonts w:ascii="Georgia" w:hAnsi="Georgia"/>
      <w:sz w:val="20"/>
      <w:szCs w:val="20"/>
      <w:lang w:val="la-Latn"/>
    </w:rPr>
  </w:style>
  <w:style w:type="paragraph" w:styleId="Sidfot">
    <w:name w:val="footer"/>
    <w:basedOn w:val="Normal"/>
    <w:link w:val="SidfotChar"/>
    <w:uiPriority w:val="99"/>
    <w:unhideWhenUsed/>
    <w:rsid w:val="00BB4CF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BB4CF3"/>
    <w:rPr>
      <w:rFonts w:ascii="Arial" w:hAnsi="Arial"/>
      <w:sz w:val="20"/>
    </w:rPr>
  </w:style>
  <w:style w:type="paragraph" w:styleId="Sidhuvud">
    <w:name w:val="header"/>
    <w:basedOn w:val="Normal"/>
    <w:link w:val="SidhuvudChar"/>
    <w:uiPriority w:val="99"/>
    <w:unhideWhenUsed/>
    <w:rsid w:val="00BB4CF3"/>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BB4CF3"/>
    <w:rPr>
      <w:rFonts w:ascii="Arial" w:eastAsia="Times New Roman" w:hAnsi="Arial" w:cs="Times New Roman"/>
      <w:caps/>
      <w:sz w:val="12"/>
      <w:szCs w:val="13"/>
    </w:rPr>
  </w:style>
  <w:style w:type="paragraph" w:customStyle="1" w:styleId="Sidhuvudsidnumrering-RJH">
    <w:name w:val="Sidhuvud sidnumrering - RJH"/>
    <w:rsid w:val="00BB4CF3"/>
    <w:pPr>
      <w:tabs>
        <w:tab w:val="center" w:pos="4536"/>
        <w:tab w:val="right" w:pos="9072"/>
      </w:tabs>
      <w:spacing w:after="0" w:line="180" w:lineRule="exact"/>
    </w:pPr>
    <w:rPr>
      <w:rFonts w:ascii="Arial" w:eastAsia="Times New Roman" w:hAnsi="Arial" w:cs="Times New Roman"/>
      <w:caps/>
      <w:sz w:val="12"/>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3CC3-6418-4B99-9C86-39D75AB1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1CF3B8D3.dotm</Template>
  <TotalTime>68</TotalTime>
  <Pages>2</Pages>
  <Words>417</Words>
  <Characters>2213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Jenny Olsson</cp:lastModifiedBy>
  <cp:revision>24</cp:revision>
  <dcterms:created xsi:type="dcterms:W3CDTF">2014-11-24T09:43:00Z</dcterms:created>
  <dcterms:modified xsi:type="dcterms:W3CDTF">2018-06-25T09:36:00Z</dcterms:modified>
</cp:coreProperties>
</file>